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2A285713">
      <w:pPr>
        <w:kinsoku/>
        <w:overflowPunct/>
        <w:topLinePunct w:val="0"/>
        <w:bidi w:val="0"/>
        <w:spacing w:line="288" w:lineRule="auto"/>
        <w:jc w:val="center"/>
        <w:rPr>
          <w:rFonts w:hint="eastAsia" w:ascii="仿宋" w:hAnsi="仿宋" w:eastAsia="仿宋" w:cs="仿宋"/>
          <w:b/>
          <w:bCs/>
          <w:color w:val="auto"/>
          <w:sz w:val="72"/>
          <w:szCs w:val="72"/>
        </w:rPr>
      </w:pPr>
      <w:r>
        <w:rPr>
          <w:rFonts w:hint="eastAsia" w:ascii="仿宋" w:hAnsi="仿宋" w:eastAsia="仿宋" w:cs="仿宋"/>
          <w:b/>
          <w:color w:val="auto"/>
          <w:sz w:val="48"/>
          <w:szCs w:val="48"/>
          <w:lang w:eastAsia="zh-CN"/>
        </w:rPr>
        <w:t>绍兴大学附属医院2026年第三批试剂采购项目</w:t>
      </w: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418B8FA4">
      <w:pPr>
        <w:kinsoku/>
        <w:overflowPunct/>
        <w:topLinePunct w:val="0"/>
        <w:bidi w:val="0"/>
        <w:spacing w:line="288"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w:t>
      </w:r>
      <w:r>
        <w:rPr>
          <w:rFonts w:hint="eastAsia" w:ascii="仿宋" w:hAnsi="仿宋" w:eastAsia="仿宋" w:cs="仿宋"/>
          <w:color w:val="auto"/>
          <w:sz w:val="28"/>
          <w:szCs w:val="28"/>
          <w:lang w:val="en-US" w:eastAsia="zh-CN"/>
        </w:rPr>
        <w:t>-06018</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bookmarkStart w:id="31" w:name="_GoBack"/>
      <w:bookmarkEnd w:id="31"/>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footerReference r:id="rId6" w:type="first"/>
          <w:headerReference r:id="rId3" w:type="default"/>
          <w:footerReference r:id="rId5"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32273255"/>
      <w:bookmarkStart w:id="2" w:name="_Hlk113894197"/>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绍兴大学附属医院2026年第三批试剂采购项目</w:t>
      </w:r>
    </w:p>
    <w:p w14:paraId="0126D371">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w:t>
      </w:r>
      <w:r>
        <w:rPr>
          <w:rFonts w:hint="eastAsia" w:ascii="仿宋" w:hAnsi="仿宋" w:eastAsia="仿宋" w:cs="仿宋"/>
          <w:b w:val="0"/>
          <w:bCs w:val="0"/>
          <w:color w:val="auto"/>
          <w:sz w:val="24"/>
          <w:lang w:val="en-US" w:eastAsia="zh-CN"/>
        </w:rPr>
        <w:t>6-06018</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绍兴大学附属医院2026年第三批试剂采购项目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1509600</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DC7741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4DD87E1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022F32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3.项目配套服务中涉及提供的设备，供应商须承诺根据临床要求，接入医院LIS/HIS系统，相应费用包含在投标报价中，不单独报价。</w:t>
      </w:r>
    </w:p>
    <w:p w14:paraId="17BF422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4.各标段技术参数中含有基本要求条款需全部响应。</w:t>
      </w:r>
    </w:p>
    <w:p w14:paraId="056D9E3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5.各标段包含所有相关配套设备、耗材、质控品、校准品、定标液、样品杯等，以保证临床使用，均包含在投标报价中，不单独报价。</w:t>
      </w:r>
    </w:p>
    <w:p w14:paraId="2ABEEE5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6.配送需要通过绍兴大学附属医院SPD物资管理系统进行配送结算，产生费用由供应商与SPD管理公司自行协商。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00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6"/>
      <w:bookmarkEnd w:id="5"/>
      <w:bookmarkStart w:id="6" w:name="_Hlt10553107"/>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绍兴大学附属医院：https://</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绍兴大学招投标与采购中心</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hint="eastAsia" w:ascii="仿宋" w:hAnsi="仿宋" w:eastAsia="仿宋" w:cs="仿宋"/>
          <w:color w:val="auto"/>
          <w:kern w:val="0"/>
          <w:sz w:val="24"/>
          <w:u w:val="single"/>
          <w:lang w:eastAsia="zh-CN"/>
        </w:rPr>
      </w:pPr>
      <w:r>
        <w:rPr>
          <w:rFonts w:hint="eastAsia" w:ascii="仿宋" w:hAnsi="仿宋" w:eastAsia="仿宋" w:cs="仿宋"/>
          <w:color w:val="auto"/>
          <w:kern w:val="0"/>
          <w:sz w:val="24"/>
          <w:u w:val="single"/>
        </w:rPr>
        <w:t>绍兴大学附属医院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 xml:space="preserve"> 月 </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7E2EE211">
      <w:pPr>
        <w:kinsoku/>
        <w:overflowPunct/>
        <w:topLinePunct w:val="0"/>
        <w:bidi w:val="0"/>
        <w:spacing w:line="288" w:lineRule="auto"/>
        <w:jc w:val="center"/>
        <w:rPr>
          <w:rFonts w:hint="eastAsia" w:ascii="仿宋" w:hAnsi="仿宋" w:eastAsia="仿宋" w:cs="仿宋"/>
          <w:b/>
          <w:bCs/>
          <w:color w:val="auto"/>
          <w:sz w:val="44"/>
          <w:szCs w:val="44"/>
        </w:rPr>
      </w:pPr>
    </w:p>
    <w:p w14:paraId="1682F924">
      <w:pPr>
        <w:kinsoku/>
        <w:overflowPunct/>
        <w:topLinePunct w:val="0"/>
        <w:bidi w:val="0"/>
        <w:spacing w:line="288" w:lineRule="auto"/>
        <w:jc w:val="center"/>
        <w:rPr>
          <w:rFonts w:hint="eastAsia" w:ascii="仿宋" w:hAnsi="仿宋" w:eastAsia="仿宋" w:cs="仿宋"/>
          <w:b/>
          <w:bCs/>
          <w:color w:val="auto"/>
          <w:sz w:val="44"/>
          <w:szCs w:val="44"/>
        </w:rPr>
      </w:pPr>
    </w:p>
    <w:p w14:paraId="1589100F">
      <w:pPr>
        <w:kinsoku/>
        <w:overflowPunct/>
        <w:topLinePunct w:val="0"/>
        <w:bidi w:val="0"/>
        <w:spacing w:line="288" w:lineRule="auto"/>
        <w:jc w:val="center"/>
        <w:rPr>
          <w:rFonts w:hint="eastAsia" w:ascii="仿宋" w:hAnsi="仿宋" w:eastAsia="仿宋" w:cs="仿宋"/>
          <w:b/>
          <w:bCs/>
          <w:color w:val="auto"/>
          <w:sz w:val="44"/>
          <w:szCs w:val="44"/>
        </w:rPr>
      </w:pPr>
    </w:p>
    <w:p w14:paraId="32F4C71D">
      <w:pPr>
        <w:kinsoku/>
        <w:overflowPunct/>
        <w:topLinePunct w:val="0"/>
        <w:bidi w:val="0"/>
        <w:spacing w:line="288" w:lineRule="auto"/>
        <w:jc w:val="center"/>
        <w:rPr>
          <w:rFonts w:hint="eastAsia" w:ascii="仿宋" w:hAnsi="仿宋" w:eastAsia="仿宋" w:cs="仿宋"/>
          <w:b/>
          <w:bCs/>
          <w:color w:val="auto"/>
          <w:sz w:val="44"/>
          <w:szCs w:val="44"/>
        </w:rPr>
      </w:pPr>
    </w:p>
    <w:p w14:paraId="4ECF8573">
      <w:pPr>
        <w:kinsoku/>
        <w:overflowPunct/>
        <w:topLinePunct w:val="0"/>
        <w:bidi w:val="0"/>
        <w:spacing w:line="288" w:lineRule="auto"/>
        <w:jc w:val="center"/>
        <w:rPr>
          <w:rFonts w:hint="eastAsia" w:ascii="仿宋" w:hAnsi="仿宋" w:eastAsia="仿宋" w:cs="仿宋"/>
          <w:b/>
          <w:bCs/>
          <w:color w:val="auto"/>
          <w:sz w:val="44"/>
          <w:szCs w:val="44"/>
        </w:rPr>
      </w:pPr>
    </w:p>
    <w:p w14:paraId="2DF316A1">
      <w:pPr>
        <w:kinsoku/>
        <w:overflowPunct/>
        <w:topLinePunct w:val="0"/>
        <w:bidi w:val="0"/>
        <w:spacing w:line="288" w:lineRule="auto"/>
        <w:jc w:val="center"/>
        <w:rPr>
          <w:rFonts w:hint="eastAsia" w:ascii="仿宋" w:hAnsi="仿宋" w:eastAsia="仿宋" w:cs="仿宋"/>
          <w:b/>
          <w:bCs/>
          <w:color w:val="auto"/>
          <w:sz w:val="44"/>
          <w:szCs w:val="44"/>
        </w:rPr>
      </w:pPr>
    </w:p>
    <w:p w14:paraId="5D386BE2">
      <w:pPr>
        <w:kinsoku/>
        <w:overflowPunct/>
        <w:topLinePunct w:val="0"/>
        <w:bidi w:val="0"/>
        <w:spacing w:line="288" w:lineRule="auto"/>
        <w:jc w:val="center"/>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w:t>
            </w:r>
            <w:r>
              <w:rPr>
                <w:rFonts w:hint="eastAsia" w:ascii="仿宋" w:hAnsi="仿宋" w:eastAsia="仿宋" w:cs="仿宋"/>
                <w:b/>
                <w:color w:val="auto"/>
                <w:sz w:val="24"/>
                <w:highlight w:val="none"/>
              </w:rPr>
              <w:t>正本一份，副本</w:t>
            </w:r>
            <w:r>
              <w:rPr>
                <w:rFonts w:hint="eastAsia" w:ascii="仿宋" w:hAnsi="仿宋" w:eastAsia="仿宋" w:cs="仿宋"/>
                <w:b/>
                <w:color w:val="auto"/>
                <w:sz w:val="24"/>
                <w:highlight w:val="none"/>
                <w:lang w:eastAsia="zh-CN"/>
              </w:rPr>
              <w:t>四</w:t>
            </w:r>
            <w:r>
              <w:rPr>
                <w:rFonts w:hint="eastAsia" w:ascii="仿宋" w:hAnsi="仿宋" w:eastAsia="仿宋" w:cs="仿宋"/>
                <w:b/>
                <w:color w:val="auto"/>
                <w:sz w:val="24"/>
                <w:highlight w:val="none"/>
              </w:rPr>
              <w:t>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w:t>
            </w:r>
            <w:r>
              <w:rPr>
                <w:rFonts w:hint="eastAsia" w:ascii="仿宋" w:hAnsi="仿宋" w:eastAsia="仿宋" w:cs="仿宋"/>
                <w:color w:val="auto"/>
                <w:sz w:val="24"/>
                <w:lang w:val="en-US" w:eastAsia="zh-CN"/>
              </w:rPr>
              <w:t>2</w:t>
            </w:r>
            <w:r>
              <w:rPr>
                <w:rFonts w:hint="eastAsia" w:ascii="仿宋" w:hAnsi="仿宋" w:eastAsia="仿宋" w:cs="仿宋"/>
                <w:color w:val="auto"/>
                <w:sz w:val="24"/>
              </w:rPr>
              <w:t>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7550A6A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4.1采购人如对招标文件进行澄清、补充、变更的，或者在投标截止时间前规定时间内，采购人需要对招标文件进行补充或修改的，采购人将会通过绍兴大学附属医院：https://</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5EC785D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p>
    <w:p w14:paraId="50FA195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投标产品质量相关证明材料</w:t>
      </w:r>
      <w:r>
        <w:rPr>
          <w:rFonts w:hint="eastAsia" w:ascii="仿宋" w:hAnsi="仿宋" w:eastAsia="仿宋" w:cs="仿宋"/>
          <w:color w:val="auto"/>
          <w:highlight w:val="none"/>
          <w:lang w:eastAsia="zh-CN"/>
        </w:rPr>
        <w:t>；</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50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1"/>
        <w:gridCol w:w="1776"/>
        <w:gridCol w:w="656"/>
        <w:gridCol w:w="2111"/>
        <w:gridCol w:w="976"/>
        <w:gridCol w:w="830"/>
        <w:gridCol w:w="1018"/>
        <w:gridCol w:w="1188"/>
      </w:tblGrid>
      <w:tr w14:paraId="79D3B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936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3E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标段名称</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D64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目录序号</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7A7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目录名称</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8D2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18"/>
                <w:szCs w:val="18"/>
                <w:u w:val="none"/>
                <w:lang w:val="en-US" w:eastAsia="zh-CN" w:bidi="ar"/>
              </w:rPr>
              <w:t>单位</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EBF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18"/>
                <w:szCs w:val="18"/>
                <w:u w:val="none"/>
                <w:lang w:val="en-US" w:eastAsia="zh-CN" w:bidi="ar"/>
              </w:rPr>
              <w:t>上限单价</w:t>
            </w:r>
            <w:r>
              <w:rPr>
                <w:rFonts w:hint="eastAsia" w:ascii="宋体" w:hAnsi="宋体" w:eastAsia="宋体" w:cs="宋体"/>
                <w:b/>
                <w:bCs/>
                <w:i w:val="0"/>
                <w:iCs w:val="0"/>
                <w:color w:val="000000"/>
                <w:kern w:val="0"/>
                <w:sz w:val="18"/>
                <w:szCs w:val="18"/>
                <w:u w:val="none"/>
                <w:lang w:val="en-US" w:eastAsia="zh-CN" w:bidi="ar"/>
              </w:rPr>
              <w:t>（元）</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C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b/>
                <w:bCs/>
                <w:i w:val="0"/>
                <w:iCs w:val="0"/>
                <w:color w:val="000000"/>
                <w:kern w:val="0"/>
                <w:sz w:val="18"/>
                <w:szCs w:val="18"/>
                <w:u w:val="none"/>
                <w:lang w:val="en-US" w:eastAsia="zh-CN" w:bidi="ar"/>
              </w:rPr>
              <w:t>参考</w:t>
            </w:r>
            <w:r>
              <w:rPr>
                <w:rFonts w:hint="eastAsia" w:ascii="宋体" w:hAnsi="宋体" w:eastAsia="宋体" w:cs="宋体"/>
                <w:b/>
                <w:bCs/>
                <w:i w:val="0"/>
                <w:iCs w:val="0"/>
                <w:color w:val="000000"/>
                <w:kern w:val="0"/>
                <w:sz w:val="18"/>
                <w:szCs w:val="18"/>
                <w:u w:val="none"/>
                <w:lang w:val="en-US" w:eastAsia="zh-CN" w:bidi="ar"/>
              </w:rPr>
              <w:t>年使用量</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8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b/>
                <w:bCs/>
                <w:i w:val="0"/>
                <w:iCs w:val="0"/>
                <w:color w:val="000000"/>
                <w:kern w:val="0"/>
                <w:sz w:val="18"/>
                <w:szCs w:val="18"/>
                <w:u w:val="none"/>
                <w:lang w:val="en-US" w:eastAsia="zh-CN" w:bidi="ar"/>
              </w:rPr>
              <w:t>年参考总金额</w:t>
            </w:r>
            <w:r>
              <w:rPr>
                <w:rFonts w:hint="eastAsia" w:ascii="宋体" w:hAnsi="宋体" w:eastAsia="宋体" w:cs="宋体"/>
                <w:b/>
                <w:bCs/>
                <w:i w:val="0"/>
                <w:iCs w:val="0"/>
                <w:color w:val="000000"/>
                <w:kern w:val="0"/>
                <w:sz w:val="18"/>
                <w:szCs w:val="18"/>
                <w:u w:val="none"/>
                <w:lang w:val="en-US" w:eastAsia="zh-CN" w:bidi="ar"/>
              </w:rPr>
              <w:t>（元）</w:t>
            </w:r>
          </w:p>
        </w:tc>
      </w:tr>
      <w:tr w14:paraId="0AC2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C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76" w:type="dxa"/>
            <w:tcBorders>
              <w:top w:val="single" w:color="000000" w:sz="4" w:space="0"/>
              <w:left w:val="nil"/>
              <w:bottom w:val="nil"/>
              <w:right w:val="single" w:color="000000" w:sz="4" w:space="0"/>
            </w:tcBorders>
            <w:shd w:val="clear" w:color="auto" w:fill="auto"/>
            <w:vAlign w:val="center"/>
          </w:tcPr>
          <w:p w14:paraId="70402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人ApoE基因多态性核酸检测试剂盒（PCR-荧光探针法）</w:t>
            </w:r>
          </w:p>
        </w:tc>
        <w:tc>
          <w:tcPr>
            <w:tcW w:w="656" w:type="dxa"/>
            <w:tcBorders>
              <w:top w:val="single" w:color="000000" w:sz="4" w:space="0"/>
              <w:left w:val="single" w:color="000000" w:sz="4" w:space="0"/>
              <w:bottom w:val="nil"/>
              <w:right w:val="single" w:color="000000" w:sz="4" w:space="0"/>
            </w:tcBorders>
            <w:shd w:val="clear" w:color="auto" w:fill="auto"/>
            <w:vAlign w:val="center"/>
          </w:tcPr>
          <w:p w14:paraId="00974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000000" w:sz="4" w:space="0"/>
              <w:left w:val="single" w:color="000000" w:sz="4" w:space="0"/>
              <w:bottom w:val="nil"/>
              <w:right w:val="single" w:color="000000" w:sz="4" w:space="0"/>
            </w:tcBorders>
            <w:shd w:val="clear" w:color="auto" w:fill="auto"/>
            <w:vAlign w:val="center"/>
          </w:tcPr>
          <w:p w14:paraId="3E723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人ApoE基因多态性核酸检测试剂盒（PCR-荧光探针法）</w:t>
            </w:r>
          </w:p>
        </w:tc>
        <w:tc>
          <w:tcPr>
            <w:tcW w:w="976" w:type="dxa"/>
            <w:tcBorders>
              <w:top w:val="single" w:color="000000" w:sz="4" w:space="0"/>
              <w:left w:val="single" w:color="000000" w:sz="4" w:space="0"/>
              <w:bottom w:val="nil"/>
              <w:right w:val="single" w:color="000000" w:sz="4" w:space="0"/>
            </w:tcBorders>
            <w:shd w:val="clear" w:color="auto" w:fill="auto"/>
            <w:noWrap/>
            <w:vAlign w:val="center"/>
          </w:tcPr>
          <w:p w14:paraId="18BDE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nil"/>
              <w:right w:val="single" w:color="000000" w:sz="4" w:space="0"/>
            </w:tcBorders>
            <w:shd w:val="clear" w:color="auto" w:fill="auto"/>
            <w:noWrap/>
            <w:vAlign w:val="center"/>
          </w:tcPr>
          <w:p w14:paraId="0BC47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nil"/>
              <w:right w:val="single" w:color="000000" w:sz="4" w:space="0"/>
            </w:tcBorders>
            <w:shd w:val="clear" w:color="auto" w:fill="auto"/>
            <w:noWrap/>
            <w:vAlign w:val="center"/>
          </w:tcPr>
          <w:p w14:paraId="7E2D3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D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33000</w:t>
            </w:r>
          </w:p>
        </w:tc>
      </w:tr>
      <w:tr w14:paraId="79F8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D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76" w:type="dxa"/>
            <w:tcBorders>
              <w:top w:val="single" w:color="000000" w:sz="4" w:space="0"/>
              <w:left w:val="nil"/>
              <w:bottom w:val="nil"/>
              <w:right w:val="single" w:color="000000" w:sz="4" w:space="0"/>
            </w:tcBorders>
            <w:shd w:val="clear" w:color="auto" w:fill="auto"/>
            <w:vAlign w:val="center"/>
          </w:tcPr>
          <w:p w14:paraId="5EF8A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个体化精准用药</w:t>
            </w:r>
          </w:p>
        </w:tc>
        <w:tc>
          <w:tcPr>
            <w:tcW w:w="656" w:type="dxa"/>
            <w:tcBorders>
              <w:top w:val="single" w:color="000000" w:sz="4" w:space="0"/>
              <w:left w:val="single" w:color="000000" w:sz="4" w:space="0"/>
              <w:bottom w:val="nil"/>
              <w:right w:val="single" w:color="000000" w:sz="4" w:space="0"/>
            </w:tcBorders>
            <w:shd w:val="clear" w:color="auto" w:fill="auto"/>
            <w:vAlign w:val="center"/>
          </w:tcPr>
          <w:p w14:paraId="4BCD9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000000" w:sz="4" w:space="0"/>
              <w:left w:val="single" w:color="000000" w:sz="4" w:space="0"/>
              <w:bottom w:val="nil"/>
              <w:right w:val="single" w:color="000000" w:sz="4" w:space="0"/>
            </w:tcBorders>
            <w:shd w:val="clear" w:color="auto" w:fill="auto"/>
            <w:vAlign w:val="center"/>
          </w:tcPr>
          <w:p w14:paraId="1764C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地高辛显色试剂</w:t>
            </w:r>
          </w:p>
        </w:tc>
        <w:tc>
          <w:tcPr>
            <w:tcW w:w="976" w:type="dxa"/>
            <w:tcBorders>
              <w:top w:val="single" w:color="000000" w:sz="4" w:space="0"/>
              <w:left w:val="single" w:color="000000" w:sz="4" w:space="0"/>
              <w:bottom w:val="nil"/>
              <w:right w:val="single" w:color="000000" w:sz="4" w:space="0"/>
            </w:tcBorders>
            <w:shd w:val="clear" w:color="auto" w:fill="auto"/>
            <w:vAlign w:val="center"/>
          </w:tcPr>
          <w:p w14:paraId="4CDBB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位点</w:t>
            </w:r>
          </w:p>
        </w:tc>
        <w:tc>
          <w:tcPr>
            <w:tcW w:w="830" w:type="dxa"/>
            <w:tcBorders>
              <w:top w:val="single" w:color="000000" w:sz="4" w:space="0"/>
              <w:left w:val="single" w:color="000000" w:sz="4" w:space="0"/>
              <w:bottom w:val="nil"/>
              <w:right w:val="single" w:color="000000" w:sz="4" w:space="0"/>
            </w:tcBorders>
            <w:shd w:val="clear" w:color="auto" w:fill="auto"/>
            <w:vAlign w:val="center"/>
          </w:tcPr>
          <w:p w14:paraId="17984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018" w:type="dxa"/>
            <w:tcBorders>
              <w:top w:val="single" w:color="000000" w:sz="4" w:space="0"/>
              <w:left w:val="single" w:color="000000" w:sz="4" w:space="0"/>
              <w:bottom w:val="nil"/>
              <w:right w:val="single" w:color="000000" w:sz="4" w:space="0"/>
            </w:tcBorders>
            <w:shd w:val="clear" w:color="auto" w:fill="auto"/>
            <w:vAlign w:val="center"/>
          </w:tcPr>
          <w:p w14:paraId="6B2AB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7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r>
      <w:tr w14:paraId="3248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6A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76" w:type="dxa"/>
            <w:vMerge w:val="restart"/>
            <w:tcBorders>
              <w:top w:val="single" w:color="000000" w:sz="4" w:space="0"/>
              <w:left w:val="nil"/>
              <w:bottom w:val="single" w:color="000000" w:sz="4" w:space="0"/>
              <w:right w:val="single" w:color="000000" w:sz="4" w:space="0"/>
            </w:tcBorders>
            <w:shd w:val="clear" w:color="auto" w:fill="auto"/>
            <w:vAlign w:val="center"/>
          </w:tcPr>
          <w:p w14:paraId="6A1FF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阿尔茨海默病（AD）血液检测</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C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D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β淀粉样蛋白1-40</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0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E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4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C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r>
      <w:tr w14:paraId="71DB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955D7">
            <w:pPr>
              <w:jc w:val="center"/>
              <w:rPr>
                <w:rFonts w:hint="eastAsia" w:ascii="宋体" w:hAnsi="宋体" w:eastAsia="宋体" w:cs="宋体"/>
                <w:i w:val="0"/>
                <w:iCs w:val="0"/>
                <w:color w:val="000000"/>
                <w:sz w:val="18"/>
                <w:szCs w:val="18"/>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5E3CA2F0">
            <w:pPr>
              <w:jc w:val="center"/>
              <w:rPr>
                <w:rFonts w:hint="eastAsia" w:ascii="宋体" w:hAnsi="宋体" w:eastAsia="宋体" w:cs="宋体"/>
                <w:i w:val="0"/>
                <w:iCs w:val="0"/>
                <w:color w:val="000000"/>
                <w:sz w:val="18"/>
                <w:szCs w:val="18"/>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E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C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β淀粉样蛋白1-42</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9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1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1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B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r>
      <w:tr w14:paraId="6A295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54014">
            <w:pPr>
              <w:jc w:val="center"/>
              <w:rPr>
                <w:rFonts w:hint="eastAsia" w:ascii="宋体" w:hAnsi="宋体" w:eastAsia="宋体" w:cs="宋体"/>
                <w:i w:val="0"/>
                <w:iCs w:val="0"/>
                <w:color w:val="000000"/>
                <w:sz w:val="18"/>
                <w:szCs w:val="18"/>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5F97411E">
            <w:pPr>
              <w:jc w:val="center"/>
              <w:rPr>
                <w:rFonts w:hint="eastAsia" w:ascii="宋体" w:hAnsi="宋体" w:eastAsia="宋体" w:cs="宋体"/>
                <w:i w:val="0"/>
                <w:iCs w:val="0"/>
                <w:color w:val="000000"/>
                <w:sz w:val="18"/>
                <w:szCs w:val="18"/>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7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2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磷酸化Tau217蛋白</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2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1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E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F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r>
      <w:tr w14:paraId="3DE2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8906E">
            <w:pPr>
              <w:jc w:val="center"/>
              <w:rPr>
                <w:rFonts w:hint="eastAsia" w:ascii="宋体" w:hAnsi="宋体" w:eastAsia="宋体" w:cs="宋体"/>
                <w:i w:val="0"/>
                <w:iCs w:val="0"/>
                <w:color w:val="000000"/>
                <w:sz w:val="18"/>
                <w:szCs w:val="18"/>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78AF0959">
            <w:pPr>
              <w:jc w:val="center"/>
              <w:rPr>
                <w:rFonts w:hint="eastAsia" w:ascii="宋体" w:hAnsi="宋体" w:eastAsia="宋体" w:cs="宋体"/>
                <w:i w:val="0"/>
                <w:iCs w:val="0"/>
                <w:color w:val="000000"/>
                <w:sz w:val="18"/>
                <w:szCs w:val="18"/>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E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111" w:type="dxa"/>
            <w:tcBorders>
              <w:top w:val="nil"/>
              <w:left w:val="nil"/>
              <w:bottom w:val="nil"/>
              <w:right w:val="nil"/>
            </w:tcBorders>
            <w:shd w:val="clear" w:color="auto" w:fill="auto"/>
            <w:noWrap/>
            <w:vAlign w:val="center"/>
          </w:tcPr>
          <w:p w14:paraId="52F63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磷酸化Tau181蛋白</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8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5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C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C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r>
      <w:tr w14:paraId="7595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6D958">
            <w:pPr>
              <w:jc w:val="center"/>
              <w:rPr>
                <w:rFonts w:hint="eastAsia" w:ascii="宋体" w:hAnsi="宋体" w:eastAsia="宋体" w:cs="宋体"/>
                <w:i w:val="0"/>
                <w:iCs w:val="0"/>
                <w:color w:val="000000"/>
                <w:sz w:val="18"/>
                <w:szCs w:val="18"/>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1F9C9084">
            <w:pPr>
              <w:jc w:val="center"/>
              <w:rPr>
                <w:rFonts w:hint="eastAsia" w:ascii="宋体" w:hAnsi="宋体" w:eastAsia="宋体" w:cs="宋体"/>
                <w:i w:val="0"/>
                <w:iCs w:val="0"/>
                <w:color w:val="000000"/>
                <w:sz w:val="18"/>
                <w:szCs w:val="18"/>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D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6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胶质纤维酸性蛋白</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D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1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2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7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w:t>
            </w:r>
          </w:p>
        </w:tc>
      </w:tr>
      <w:tr w14:paraId="72A0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95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5A56C36">
            <w:pPr>
              <w:jc w:val="center"/>
              <w:rPr>
                <w:rFonts w:hint="eastAsia" w:ascii="宋体" w:hAnsi="宋体" w:eastAsia="宋体" w:cs="宋体"/>
                <w:i w:val="0"/>
                <w:iCs w:val="0"/>
                <w:color w:val="000000"/>
                <w:sz w:val="18"/>
                <w:szCs w:val="18"/>
                <w:u w:val="none"/>
              </w:rPr>
            </w:pPr>
          </w:p>
        </w:tc>
        <w:tc>
          <w:tcPr>
            <w:tcW w:w="1776" w:type="dxa"/>
            <w:vMerge w:val="continue"/>
            <w:tcBorders>
              <w:top w:val="single" w:color="000000" w:sz="4" w:space="0"/>
              <w:left w:val="nil"/>
              <w:bottom w:val="single" w:color="auto" w:sz="4" w:space="0"/>
              <w:right w:val="single" w:color="000000" w:sz="4" w:space="0"/>
            </w:tcBorders>
            <w:shd w:val="clear" w:color="auto" w:fill="auto"/>
            <w:vAlign w:val="center"/>
          </w:tcPr>
          <w:p w14:paraId="0F0FB7E1">
            <w:pPr>
              <w:jc w:val="center"/>
              <w:rPr>
                <w:rFonts w:hint="eastAsia" w:ascii="宋体" w:hAnsi="宋体" w:eastAsia="宋体" w:cs="宋体"/>
                <w:i w:val="0"/>
                <w:iCs w:val="0"/>
                <w:color w:val="000000"/>
                <w:sz w:val="18"/>
                <w:szCs w:val="18"/>
                <w:u w:val="none"/>
              </w:rPr>
            </w:pPr>
          </w:p>
        </w:tc>
        <w:tc>
          <w:tcPr>
            <w:tcW w:w="656" w:type="dxa"/>
            <w:tcBorders>
              <w:top w:val="single" w:color="000000" w:sz="4" w:space="0"/>
              <w:left w:val="single" w:color="000000" w:sz="4" w:space="0"/>
              <w:bottom w:val="single" w:color="auto" w:sz="4" w:space="0"/>
              <w:right w:val="single" w:color="000000" w:sz="4" w:space="0"/>
            </w:tcBorders>
            <w:shd w:val="clear" w:color="auto" w:fill="auto"/>
            <w:vAlign w:val="center"/>
          </w:tcPr>
          <w:p w14:paraId="0F68C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111" w:type="dxa"/>
            <w:tcBorders>
              <w:top w:val="single" w:color="000000" w:sz="4" w:space="0"/>
              <w:left w:val="single" w:color="000000" w:sz="4" w:space="0"/>
              <w:bottom w:val="single" w:color="auto" w:sz="4" w:space="0"/>
              <w:right w:val="single" w:color="000000" w:sz="4" w:space="0"/>
            </w:tcBorders>
            <w:shd w:val="clear" w:color="auto" w:fill="auto"/>
            <w:vAlign w:val="center"/>
          </w:tcPr>
          <w:p w14:paraId="03092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神经丝轻链蛋白</w:t>
            </w:r>
          </w:p>
        </w:tc>
        <w:tc>
          <w:tcPr>
            <w:tcW w:w="976" w:type="dxa"/>
            <w:tcBorders>
              <w:top w:val="single" w:color="000000" w:sz="4" w:space="0"/>
              <w:left w:val="single" w:color="000000" w:sz="4" w:space="0"/>
              <w:bottom w:val="single" w:color="auto" w:sz="4" w:space="0"/>
              <w:right w:val="single" w:color="000000" w:sz="4" w:space="0"/>
            </w:tcBorders>
            <w:shd w:val="clear" w:color="auto" w:fill="auto"/>
            <w:vAlign w:val="center"/>
          </w:tcPr>
          <w:p w14:paraId="37841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auto" w:sz="4" w:space="0"/>
              <w:right w:val="single" w:color="000000" w:sz="4" w:space="0"/>
            </w:tcBorders>
            <w:shd w:val="clear" w:color="auto" w:fill="auto"/>
            <w:vAlign w:val="center"/>
          </w:tcPr>
          <w:p w14:paraId="3DFB3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8" w:type="dxa"/>
            <w:tcBorders>
              <w:top w:val="single" w:color="000000" w:sz="4" w:space="0"/>
              <w:left w:val="single" w:color="000000" w:sz="4" w:space="0"/>
              <w:bottom w:val="single" w:color="auto" w:sz="4" w:space="0"/>
              <w:right w:val="single" w:color="000000" w:sz="4" w:space="0"/>
            </w:tcBorders>
            <w:shd w:val="clear" w:color="auto" w:fill="auto"/>
            <w:vAlign w:val="center"/>
          </w:tcPr>
          <w:p w14:paraId="0E1EE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3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w:t>
            </w:r>
          </w:p>
        </w:tc>
      </w:tr>
      <w:tr w14:paraId="0BAD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C38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76"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733938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耶氏肺孢子菌、新型隐球菌、曲霉核酸三联检测试剂（PCR)</w:t>
            </w:r>
          </w:p>
        </w:tc>
        <w:tc>
          <w:tcPr>
            <w:tcW w:w="656" w:type="dxa"/>
            <w:tcBorders>
              <w:top w:val="single" w:color="auto" w:sz="4" w:space="0"/>
              <w:left w:val="single" w:color="000000" w:sz="4" w:space="0"/>
              <w:bottom w:val="single" w:color="auto" w:sz="4" w:space="0"/>
              <w:right w:val="single" w:color="000000" w:sz="4" w:space="0"/>
            </w:tcBorders>
            <w:shd w:val="clear" w:color="auto" w:fill="auto"/>
            <w:vAlign w:val="center"/>
          </w:tcPr>
          <w:p w14:paraId="0CDA4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auto" w:sz="4" w:space="0"/>
              <w:left w:val="single" w:color="000000" w:sz="4" w:space="0"/>
              <w:bottom w:val="single" w:color="auto" w:sz="4" w:space="0"/>
              <w:right w:val="single" w:color="auto" w:sz="4" w:space="0"/>
            </w:tcBorders>
            <w:shd w:val="clear" w:color="auto" w:fill="auto"/>
            <w:vAlign w:val="center"/>
          </w:tcPr>
          <w:p w14:paraId="0BDE3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耶氏肺孢子菌检测试剂</w:t>
            </w:r>
          </w:p>
        </w:tc>
        <w:tc>
          <w:tcPr>
            <w:tcW w:w="976"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49AA9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E9B9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18"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49D9E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8" w:type="dxa"/>
            <w:vMerge w:val="restart"/>
            <w:tcBorders>
              <w:top w:val="single" w:color="000000" w:sz="4" w:space="0"/>
              <w:left w:val="single" w:color="auto" w:sz="4" w:space="0"/>
              <w:bottom w:val="single" w:color="000000" w:sz="4" w:space="0"/>
              <w:right w:val="single" w:color="000000" w:sz="4" w:space="0"/>
            </w:tcBorders>
            <w:shd w:val="clear" w:color="auto" w:fill="auto"/>
            <w:noWrap/>
            <w:vAlign w:val="center"/>
          </w:tcPr>
          <w:p w14:paraId="429BF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r>
      <w:tr w14:paraId="7FB36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3951B45B">
            <w:pPr>
              <w:jc w:val="center"/>
              <w:rPr>
                <w:rFonts w:hint="eastAsia" w:ascii="宋体" w:hAnsi="宋体" w:eastAsia="宋体" w:cs="宋体"/>
                <w:i w:val="0"/>
                <w:iCs w:val="0"/>
                <w:color w:val="000000"/>
                <w:sz w:val="18"/>
                <w:szCs w:val="18"/>
                <w:u w:val="none"/>
              </w:rPr>
            </w:pPr>
          </w:p>
        </w:tc>
        <w:tc>
          <w:tcPr>
            <w:tcW w:w="1776"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EBF8B28">
            <w:pPr>
              <w:jc w:val="left"/>
              <w:rPr>
                <w:rFonts w:hint="eastAsia" w:ascii="宋体" w:hAnsi="宋体" w:eastAsia="宋体" w:cs="宋体"/>
                <w:i w:val="0"/>
                <w:iCs w:val="0"/>
                <w:color w:val="000000"/>
                <w:sz w:val="18"/>
                <w:szCs w:val="18"/>
                <w:u w:val="none"/>
              </w:rPr>
            </w:pPr>
          </w:p>
        </w:tc>
        <w:tc>
          <w:tcPr>
            <w:tcW w:w="656" w:type="dxa"/>
            <w:tcBorders>
              <w:top w:val="single" w:color="auto" w:sz="4" w:space="0"/>
              <w:left w:val="single" w:color="000000" w:sz="4" w:space="0"/>
              <w:bottom w:val="single" w:color="000000" w:sz="4" w:space="0"/>
              <w:right w:val="single" w:color="000000" w:sz="4" w:space="0"/>
            </w:tcBorders>
            <w:shd w:val="clear" w:color="auto" w:fill="auto"/>
            <w:vAlign w:val="center"/>
          </w:tcPr>
          <w:p w14:paraId="1FF1D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11" w:type="dxa"/>
            <w:tcBorders>
              <w:top w:val="single" w:color="auto" w:sz="4" w:space="0"/>
              <w:left w:val="single" w:color="000000" w:sz="4" w:space="0"/>
              <w:bottom w:val="single" w:color="000000" w:sz="4" w:space="0"/>
              <w:right w:val="single" w:color="auto" w:sz="4" w:space="0"/>
            </w:tcBorders>
            <w:shd w:val="clear" w:color="auto" w:fill="auto"/>
            <w:vAlign w:val="center"/>
          </w:tcPr>
          <w:p w14:paraId="37A78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新型隐球菌检测试剂</w:t>
            </w:r>
          </w:p>
        </w:tc>
        <w:tc>
          <w:tcPr>
            <w:tcW w:w="97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7FB67931">
            <w:pPr>
              <w:jc w:val="center"/>
              <w:rPr>
                <w:rFonts w:hint="eastAsia" w:ascii="宋体" w:hAnsi="宋体" w:eastAsia="宋体" w:cs="宋体"/>
                <w:i w:val="0"/>
                <w:iCs w:val="0"/>
                <w:color w:val="000000"/>
                <w:sz w:val="18"/>
                <w:szCs w:val="18"/>
                <w:u w:val="none"/>
              </w:rPr>
            </w:pPr>
          </w:p>
        </w:tc>
        <w:tc>
          <w:tcPr>
            <w:tcW w:w="83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1137C5">
            <w:pPr>
              <w:jc w:val="center"/>
              <w:rPr>
                <w:rFonts w:hint="eastAsia" w:ascii="宋体" w:hAnsi="宋体" w:eastAsia="宋体" w:cs="宋体"/>
                <w:i w:val="0"/>
                <w:iCs w:val="0"/>
                <w:color w:val="000000"/>
                <w:sz w:val="18"/>
                <w:szCs w:val="18"/>
                <w:u w:val="none"/>
              </w:rPr>
            </w:pPr>
          </w:p>
        </w:tc>
        <w:tc>
          <w:tcPr>
            <w:tcW w:w="101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BB1EF4F">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0A3A9297">
            <w:pPr>
              <w:jc w:val="center"/>
              <w:rPr>
                <w:rFonts w:hint="eastAsia" w:ascii="宋体" w:hAnsi="宋体" w:eastAsia="宋体" w:cs="宋体"/>
                <w:i w:val="0"/>
                <w:iCs w:val="0"/>
                <w:color w:val="000000"/>
                <w:sz w:val="18"/>
                <w:szCs w:val="18"/>
                <w:u w:val="none"/>
              </w:rPr>
            </w:pPr>
          </w:p>
        </w:tc>
      </w:tr>
      <w:tr w14:paraId="002B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951"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14:paraId="171FF1B3">
            <w:pPr>
              <w:jc w:val="center"/>
              <w:rPr>
                <w:rFonts w:hint="eastAsia" w:ascii="宋体" w:hAnsi="宋体" w:eastAsia="宋体" w:cs="宋体"/>
                <w:i w:val="0"/>
                <w:iCs w:val="0"/>
                <w:color w:val="000000"/>
                <w:sz w:val="18"/>
                <w:szCs w:val="18"/>
                <w:u w:val="none"/>
              </w:rPr>
            </w:pPr>
          </w:p>
        </w:tc>
        <w:tc>
          <w:tcPr>
            <w:tcW w:w="1776"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03B92FE6">
            <w:pPr>
              <w:jc w:val="left"/>
              <w:rPr>
                <w:rFonts w:hint="eastAsia" w:ascii="宋体" w:hAnsi="宋体" w:eastAsia="宋体" w:cs="宋体"/>
                <w:i w:val="0"/>
                <w:iCs w:val="0"/>
                <w:color w:val="000000"/>
                <w:sz w:val="18"/>
                <w:szCs w:val="18"/>
                <w:u w:val="none"/>
              </w:rPr>
            </w:pPr>
          </w:p>
        </w:tc>
        <w:tc>
          <w:tcPr>
            <w:tcW w:w="656" w:type="dxa"/>
            <w:tcBorders>
              <w:top w:val="single" w:color="000000" w:sz="4" w:space="0"/>
              <w:left w:val="single" w:color="000000" w:sz="4" w:space="0"/>
              <w:bottom w:val="single" w:color="auto" w:sz="4" w:space="0"/>
              <w:right w:val="single" w:color="000000" w:sz="4" w:space="0"/>
            </w:tcBorders>
            <w:shd w:val="clear" w:color="auto" w:fill="auto"/>
            <w:vAlign w:val="center"/>
          </w:tcPr>
          <w:p w14:paraId="056A0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11" w:type="dxa"/>
            <w:tcBorders>
              <w:top w:val="single" w:color="000000" w:sz="4" w:space="0"/>
              <w:left w:val="single" w:color="000000" w:sz="4" w:space="0"/>
              <w:bottom w:val="single" w:color="auto" w:sz="4" w:space="0"/>
              <w:right w:val="single" w:color="auto" w:sz="4" w:space="0"/>
            </w:tcBorders>
            <w:shd w:val="clear" w:color="auto" w:fill="auto"/>
            <w:vAlign w:val="center"/>
          </w:tcPr>
          <w:p w14:paraId="7A58B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曲霉核酸检测检测试剂</w:t>
            </w:r>
          </w:p>
        </w:tc>
        <w:tc>
          <w:tcPr>
            <w:tcW w:w="97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FEF4977">
            <w:pPr>
              <w:jc w:val="center"/>
              <w:rPr>
                <w:rFonts w:hint="eastAsia" w:ascii="宋体" w:hAnsi="宋体" w:eastAsia="宋体" w:cs="宋体"/>
                <w:i w:val="0"/>
                <w:iCs w:val="0"/>
                <w:color w:val="000000"/>
                <w:sz w:val="18"/>
                <w:szCs w:val="18"/>
                <w:u w:val="none"/>
              </w:rPr>
            </w:pPr>
          </w:p>
        </w:tc>
        <w:tc>
          <w:tcPr>
            <w:tcW w:w="83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D8CDAF">
            <w:pPr>
              <w:jc w:val="center"/>
              <w:rPr>
                <w:rFonts w:hint="eastAsia" w:ascii="宋体" w:hAnsi="宋体" w:eastAsia="宋体" w:cs="宋体"/>
                <w:i w:val="0"/>
                <w:iCs w:val="0"/>
                <w:color w:val="000000"/>
                <w:sz w:val="18"/>
                <w:szCs w:val="18"/>
                <w:u w:val="none"/>
              </w:rPr>
            </w:pPr>
          </w:p>
        </w:tc>
        <w:tc>
          <w:tcPr>
            <w:tcW w:w="101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597CC12D">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56A0D3A5">
            <w:pPr>
              <w:jc w:val="center"/>
              <w:rPr>
                <w:rFonts w:hint="eastAsia" w:ascii="宋体" w:hAnsi="宋体" w:eastAsia="宋体" w:cs="宋体"/>
                <w:i w:val="0"/>
                <w:iCs w:val="0"/>
                <w:color w:val="000000"/>
                <w:sz w:val="18"/>
                <w:szCs w:val="18"/>
                <w:u w:val="none"/>
              </w:rPr>
            </w:pPr>
          </w:p>
        </w:tc>
      </w:tr>
      <w:tr w14:paraId="24E9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343F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76" w:type="dxa"/>
            <w:tcBorders>
              <w:top w:val="single" w:color="auto" w:sz="4" w:space="0"/>
              <w:left w:val="nil"/>
              <w:bottom w:val="single" w:color="000000" w:sz="4" w:space="0"/>
              <w:right w:val="single" w:color="000000" w:sz="4" w:space="0"/>
            </w:tcBorders>
            <w:shd w:val="clear" w:color="auto" w:fill="auto"/>
            <w:vAlign w:val="center"/>
          </w:tcPr>
          <w:p w14:paraId="29907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结直肠癌甲基化</w:t>
            </w:r>
          </w:p>
        </w:tc>
        <w:tc>
          <w:tcPr>
            <w:tcW w:w="656" w:type="dxa"/>
            <w:tcBorders>
              <w:top w:val="single" w:color="auto" w:sz="4" w:space="0"/>
              <w:left w:val="single" w:color="000000" w:sz="4" w:space="0"/>
              <w:bottom w:val="single" w:color="000000" w:sz="4" w:space="0"/>
              <w:right w:val="single" w:color="000000" w:sz="4" w:space="0"/>
            </w:tcBorders>
            <w:shd w:val="clear" w:color="auto" w:fill="auto"/>
            <w:vAlign w:val="center"/>
          </w:tcPr>
          <w:p w14:paraId="58E82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auto" w:sz="4" w:space="0"/>
              <w:left w:val="single" w:color="000000" w:sz="4" w:space="0"/>
              <w:bottom w:val="single" w:color="000000" w:sz="4" w:space="0"/>
              <w:right w:val="single" w:color="000000" w:sz="4" w:space="0"/>
            </w:tcBorders>
            <w:shd w:val="clear" w:color="auto" w:fill="auto"/>
            <w:vAlign w:val="center"/>
          </w:tcPr>
          <w:p w14:paraId="5E5BE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结直肠癌甲基化</w:t>
            </w:r>
          </w:p>
        </w:tc>
        <w:tc>
          <w:tcPr>
            <w:tcW w:w="976" w:type="dxa"/>
            <w:tcBorders>
              <w:top w:val="single" w:color="auto" w:sz="4" w:space="0"/>
              <w:left w:val="single" w:color="000000" w:sz="4" w:space="0"/>
              <w:bottom w:val="single" w:color="000000" w:sz="4" w:space="0"/>
              <w:right w:val="single" w:color="000000" w:sz="4" w:space="0"/>
            </w:tcBorders>
            <w:shd w:val="clear" w:color="auto" w:fill="auto"/>
            <w:vAlign w:val="center"/>
          </w:tcPr>
          <w:p w14:paraId="546D8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auto" w:sz="4" w:space="0"/>
              <w:left w:val="single" w:color="000000" w:sz="4" w:space="0"/>
              <w:bottom w:val="single" w:color="000000" w:sz="4" w:space="0"/>
              <w:right w:val="single" w:color="000000" w:sz="4" w:space="0"/>
            </w:tcBorders>
            <w:shd w:val="clear" w:color="auto" w:fill="auto"/>
            <w:vAlign w:val="center"/>
          </w:tcPr>
          <w:p w14:paraId="7E9EC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1018" w:type="dxa"/>
            <w:tcBorders>
              <w:top w:val="single" w:color="auto" w:sz="4" w:space="0"/>
              <w:left w:val="single" w:color="000000" w:sz="4" w:space="0"/>
              <w:bottom w:val="single" w:color="000000" w:sz="4" w:space="0"/>
              <w:right w:val="single" w:color="000000" w:sz="4" w:space="0"/>
            </w:tcBorders>
            <w:shd w:val="clear" w:color="auto" w:fill="auto"/>
            <w:vAlign w:val="center"/>
          </w:tcPr>
          <w:p w14:paraId="494B0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78900</w:t>
            </w:r>
          </w:p>
        </w:tc>
      </w:tr>
      <w:tr w14:paraId="6776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5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76" w:type="dxa"/>
            <w:tcBorders>
              <w:top w:val="single" w:color="000000" w:sz="4" w:space="0"/>
              <w:left w:val="nil"/>
              <w:bottom w:val="single" w:color="000000" w:sz="4" w:space="0"/>
              <w:right w:val="single" w:color="000000" w:sz="4" w:space="0"/>
            </w:tcBorders>
            <w:shd w:val="clear" w:color="auto" w:fill="auto"/>
            <w:vAlign w:val="center"/>
          </w:tcPr>
          <w:p w14:paraId="30CDC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肺癌甲基化</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7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7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肺癌甲基化试剂</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E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A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1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4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78900</w:t>
            </w:r>
          </w:p>
        </w:tc>
      </w:tr>
      <w:tr w14:paraId="39886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C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6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前列腺小体外泄蛋白PSEP项目</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4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D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前列腺小体外泄蛋白检测试验</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7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F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2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9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170000</w:t>
            </w:r>
          </w:p>
        </w:tc>
      </w:tr>
    </w:tbl>
    <w:p w14:paraId="5800BB51">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合同期：</w:t>
      </w:r>
      <w:r>
        <w:rPr>
          <w:rFonts w:hint="eastAsia" w:ascii="仿宋" w:hAnsi="仿宋" w:eastAsia="仿宋"/>
          <w:b/>
          <w:color w:val="auto"/>
          <w:sz w:val="24"/>
          <w:lang w:val="en-US" w:eastAsia="zh-CN"/>
        </w:rPr>
        <w:t>2</w:t>
      </w:r>
      <w:r>
        <w:rPr>
          <w:rFonts w:hint="eastAsia" w:ascii="仿宋" w:hAnsi="仿宋" w:eastAsia="仿宋"/>
          <w:b/>
          <w:color w:val="auto"/>
          <w:sz w:val="24"/>
          <w:lang w:eastAsia="zh-CN"/>
        </w:rPr>
        <w:t>年</w:t>
      </w:r>
    </w:p>
    <w:p w14:paraId="293A9694">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二、参数要求</w:t>
      </w:r>
    </w:p>
    <w:tbl>
      <w:tblPr>
        <w:tblStyle w:val="26"/>
        <w:tblW w:w="952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3"/>
        <w:gridCol w:w="1260"/>
        <w:gridCol w:w="7121"/>
      </w:tblGrid>
      <w:tr w14:paraId="37AD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C7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460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7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B6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r>
      <w:tr w14:paraId="64D2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9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8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人ApoE基因多态性核酸检测试剂盒（PCR-荧光探针法）</w:t>
            </w:r>
          </w:p>
        </w:tc>
        <w:tc>
          <w:tcPr>
            <w:tcW w:w="7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77F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3552C61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1.预期用途:试剂盒适用于定性检测人类外周血样本 DNA 中 ApoE 基因的 T388C 和 C526T 多态性位点的基因型，应用于患者对于他汀类药物有效性评估及阿尔茨海默病患病风险评估。                                                                 2.提供核酸</w:t>
            </w:r>
            <w:r>
              <w:rPr>
                <w:rFonts w:hint="eastAsia" w:ascii="宋体" w:hAnsi="宋体" w:cs="宋体"/>
                <w:i w:val="0"/>
                <w:iCs w:val="0"/>
                <w:color w:val="000000"/>
                <w:sz w:val="20"/>
                <w:szCs w:val="20"/>
                <w:u w:val="none"/>
                <w:lang w:val="en-US" w:eastAsia="zh-CN"/>
              </w:rPr>
              <w:t>检测</w:t>
            </w:r>
            <w:r>
              <w:rPr>
                <w:rFonts w:hint="eastAsia" w:ascii="宋体" w:hAnsi="宋体" w:eastAsia="宋体" w:cs="宋体"/>
                <w:i w:val="0"/>
                <w:iCs w:val="0"/>
                <w:color w:val="000000"/>
                <w:sz w:val="20"/>
                <w:szCs w:val="20"/>
                <w:u w:val="none"/>
              </w:rPr>
              <w:t>配套设备（PCR仪配套医院ABI7500和宏石SLAN96 PCR仪）。</w:t>
            </w:r>
          </w:p>
          <w:p w14:paraId="48E59C9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3.每年按采购人要求提供至少1次仪器校准并提供校准报告。 </w:t>
            </w:r>
          </w:p>
          <w:p w14:paraId="79C9C72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4.提供项目配套质控品、校准品、耗材等，中标方需完成方法学性能验证或比对工作。                                                                                                                             技术参数：                                                                1.需具备NMPA三类注册证。                                                   2.核酸提取方式磁珠法。核酸提取后上样浓度范围：1ng/μL-300ng/μL。                               3.检测灵敏度/检测下限：≤1ng/μL。                                            4.精密度CV：≤5%。                                                         5.单样本扩增上机管数：≤2管。                                                 6.扩增时间:≤100min。                                                          7.可实现全自动化提取操作。                                                 8.试剂允许最大反应冻融次数≥6次。</w:t>
            </w:r>
          </w:p>
        </w:tc>
      </w:tr>
      <w:tr w14:paraId="55DE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3F5DE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6D186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个体化精准用药</w:t>
            </w:r>
          </w:p>
        </w:tc>
        <w:tc>
          <w:tcPr>
            <w:tcW w:w="7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3D66F1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485277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1.预期用途:用于原位杂交地高辛探针的显色。</w:t>
            </w:r>
          </w:p>
          <w:p w14:paraId="2C3349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2.提供配套设备。</w:t>
            </w:r>
          </w:p>
          <w:p w14:paraId="350F54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3.每年按采购人要求提供至少1次仪器校准并提供校准报告。 </w:t>
            </w:r>
          </w:p>
          <w:p w14:paraId="47531E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4.提供项目配套质控品、校准品、耗材等，中标方需完成方法学性能验证或比对工作。                                                                                                                                                                         技术参数：                                                                                                                           1.主要组成成分：由抗地高辛抗体、过氧化物酶阻断剂、蛋白酶K、磷酸盐缓冲液组成。</w:t>
            </w:r>
          </w:p>
          <w:p w14:paraId="5F25A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2.准确性：准确率100%，提供不少于3家合作医院的2025年国家卫生健康委员会临床检验中心室间质评报告。</w:t>
            </w:r>
          </w:p>
          <w:p w14:paraId="03BCA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3.有效期：-15℃以下避光储存，有效期不低于15个月。</w:t>
            </w:r>
          </w:p>
          <w:p w14:paraId="093B6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4.要求可检测SNP位点不少于50个，至少包含以下药物检测：</w:t>
            </w:r>
          </w:p>
          <w:p w14:paraId="423F95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4.1 心脑血管系统药物：氯吡格雷、阿司匹林、华法林、五类降压药、他汀类降压药物、硝酸甘油。</w:t>
            </w:r>
          </w:p>
          <w:p w14:paraId="4929F2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4.2 抗感染系统药物：异烟肼、利福平、吡嗪酰胺、聚乙二醇干扰素-α、利巴韦林、依非韦伦、替诺福韦、阿巴卡韦。</w:t>
            </w:r>
          </w:p>
          <w:p w14:paraId="43B697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4.3 内分泌系统药物：二甲双胍、磺酰脲类降糖药、DPP-4抑制剂、甲巯咪唑、卡比马唑、丙硫氧嘧啶。</w:t>
            </w:r>
          </w:p>
          <w:p w14:paraId="0CB2DE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4.5 免疫抑制剂：他克莫司、环孢素A、肿瘤坏死因子抑制剂（依那西普、英夫利昔单抗、阿达木单抗）、糖皮质激素冲击（甲强龙、强的松龙等）。</w:t>
            </w:r>
          </w:p>
          <w:p w14:paraId="1AFE9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4.6抗癫痫、痛风药物：卡马西平、奥卡西平、苯妥英、别嘌醇。</w:t>
            </w:r>
          </w:p>
          <w:p w14:paraId="7DDEE3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4.7抗肿瘤、白血病药物：6-巯基嘌呤、硫唑嘌呤、硫鸟嘌呤、甲氨蝶呤、阿糖胞苷、阿霉素、氟尿嘧啶、吉西他滨、伊立替康、他莫昔芬、紫杉醇。</w:t>
            </w:r>
          </w:p>
          <w:p w14:paraId="743C3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4.8疾病防治：叶酸、老年痴呆症药物干预、静脉血栓药物干预。</w:t>
            </w:r>
          </w:p>
          <w:p w14:paraId="1DDC92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5.血液样本、口腔黏膜脱落细胞。</w:t>
            </w:r>
          </w:p>
          <w:p w14:paraId="6E12D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6.制样时间不大于3分钟。</w:t>
            </w:r>
          </w:p>
        </w:tc>
      </w:tr>
      <w:tr w14:paraId="71899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76191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162EA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阿尔茨海默病（AD）血液检测</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5833D2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6024B3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1.预期用途:阿尔茨海默病（AD）血液检测。项目包括反映 Aβ 积聚的生物标志物（Aβ1-40、Aβ1-42）和 tau 病理生物标志物（p--Tau181、p-Tau231、p-Tau217、p-Tau205)）；非磷酸化Tau 217蛋白 (np-Tau217)微管结合区Tau-243蛋白(MTBR-tau243)、神经元变性或损伤的生物标志物（NFL）和炎症/免疫生物标志物（GFAP）。                                                 </w:t>
            </w:r>
          </w:p>
          <w:p w14:paraId="12B3EC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2.提供配套设备1套。</w:t>
            </w:r>
          </w:p>
          <w:p w14:paraId="693921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3.每年</w:t>
            </w:r>
            <w:r>
              <w:rPr>
                <w:rFonts w:hint="eastAsia" w:ascii="宋体" w:hAnsi="宋体" w:cs="宋体"/>
                <w:i w:val="0"/>
                <w:iCs w:val="0"/>
                <w:color w:val="000000"/>
                <w:sz w:val="20"/>
                <w:szCs w:val="20"/>
                <w:u w:val="none"/>
                <w:lang w:val="en-US" w:eastAsia="zh-CN"/>
              </w:rPr>
              <w:t>按采购人要求</w:t>
            </w:r>
            <w:r>
              <w:rPr>
                <w:rFonts w:hint="eastAsia" w:ascii="宋体" w:hAnsi="宋体" w:eastAsia="宋体" w:cs="宋体"/>
                <w:i w:val="0"/>
                <w:iCs w:val="0"/>
                <w:color w:val="000000"/>
                <w:sz w:val="20"/>
                <w:szCs w:val="20"/>
                <w:u w:val="none"/>
              </w:rPr>
              <w:t xml:space="preserve">提供至少1次仪器校准并提供校准报告。 </w:t>
            </w:r>
          </w:p>
          <w:p w14:paraId="7EF328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4.提供项目配套质控品、校准品、耗材等，中标方需完成方法学性能验证或比对工作。                                                                        技术参数：                                                                     </w:t>
            </w:r>
          </w:p>
          <w:p w14:paraId="08D42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1.检测方法学：化学发光法。                                                </w:t>
            </w:r>
          </w:p>
          <w:p w14:paraId="743ED4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2.适用样本类型：血清、血浆、全血。                                          </w:t>
            </w:r>
          </w:p>
          <w:p w14:paraId="02C361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3.AD检测项目首个样本出结果时间≤40分钟。                                    </w:t>
            </w:r>
          </w:p>
          <w:p w14:paraId="73E0DF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4.p-Tau181试剂检测线性范围：最低限≤1pg/mL，最高限≥100pg/mL，检测线性范围内线性相关系数r≥0.99。                                                  </w:t>
            </w:r>
          </w:p>
          <w:p w14:paraId="2F264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5.p-Tau217试剂检测线性范围：最低限≤1pg/mL，最高限≥50pg/mL，检测线性范围内线性相关系数r≥0.99。                                                      </w:t>
            </w:r>
          </w:p>
          <w:p w14:paraId="52C99E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配套设备要求：                                                                </w:t>
            </w:r>
          </w:p>
          <w:p w14:paraId="5DB79C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1</w:t>
            </w:r>
            <w:r>
              <w:rPr>
                <w:rFonts w:hint="eastAsia" w:ascii="宋体" w:hAnsi="宋体" w:eastAsia="宋体" w:cs="宋体"/>
                <w:i w:val="0"/>
                <w:iCs w:val="0"/>
                <w:color w:val="000000"/>
                <w:sz w:val="20"/>
                <w:szCs w:val="20"/>
                <w:u w:val="none"/>
              </w:rPr>
              <w:t xml:space="preserve">.具备全自动加样、稀释、测试、上传结果功能。外置条码扫描枪，支持多种条形码读码方式 。                                                          </w:t>
            </w:r>
          </w:p>
          <w:p w14:paraId="100B59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2</w:t>
            </w:r>
            <w:r>
              <w:rPr>
                <w:rFonts w:hint="eastAsia" w:ascii="宋体" w:hAnsi="宋体" w:eastAsia="宋体" w:cs="宋体"/>
                <w:i w:val="0"/>
                <w:iCs w:val="0"/>
                <w:color w:val="000000"/>
                <w:sz w:val="20"/>
                <w:szCs w:val="20"/>
                <w:u w:val="none"/>
              </w:rPr>
              <w:t xml:space="preserve">.试剂位：≥20个,至少可同时容纳20种试剂盒。                               </w:t>
            </w:r>
          </w:p>
          <w:p w14:paraId="1534C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3</w:t>
            </w:r>
            <w:r>
              <w:rPr>
                <w:rFonts w:hint="eastAsia" w:ascii="宋体" w:hAnsi="宋体" w:eastAsia="宋体" w:cs="宋体"/>
                <w:i w:val="0"/>
                <w:iCs w:val="0"/>
                <w:color w:val="000000"/>
                <w:sz w:val="20"/>
                <w:szCs w:val="20"/>
                <w:u w:val="none"/>
              </w:rPr>
              <w:t>.检测速度:≥200T/h，携带污染率：≤5×10</w:t>
            </w:r>
            <w:r>
              <w:rPr>
                <w:rFonts w:hint="eastAsia" w:ascii="宋体" w:hAnsi="宋体" w:eastAsia="宋体" w:cs="宋体"/>
                <w:i w:val="0"/>
                <w:iCs w:val="0"/>
                <w:color w:val="000000"/>
                <w:sz w:val="20"/>
                <w:szCs w:val="20"/>
                <w:u w:val="none"/>
                <w:vertAlign w:val="superscript"/>
              </w:rPr>
              <w:t>-6</w:t>
            </w:r>
            <w:r>
              <w:rPr>
                <w:rFonts w:hint="eastAsia" w:ascii="宋体" w:hAnsi="宋体" w:eastAsia="宋体" w:cs="宋体"/>
                <w:i w:val="0"/>
                <w:iCs w:val="0"/>
                <w:color w:val="000000"/>
                <w:sz w:val="20"/>
                <w:szCs w:val="20"/>
                <w:u w:val="none"/>
              </w:rPr>
              <w:t>。</w:t>
            </w:r>
          </w:p>
        </w:tc>
      </w:tr>
      <w:tr w14:paraId="2BA0D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3" w:hRule="atLeast"/>
        </w:trPr>
        <w:tc>
          <w:tcPr>
            <w:tcW w:w="1143" w:type="dxa"/>
            <w:tcBorders>
              <w:top w:val="single" w:color="auto" w:sz="4" w:space="0"/>
              <w:left w:val="single" w:color="000000" w:sz="4" w:space="0"/>
              <w:bottom w:val="nil"/>
              <w:right w:val="single" w:color="000000" w:sz="4" w:space="0"/>
            </w:tcBorders>
            <w:shd w:val="clear" w:color="auto" w:fill="auto"/>
            <w:vAlign w:val="center"/>
          </w:tcPr>
          <w:p w14:paraId="7B3E3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8E33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耶氏肺孢子菌、新型隐球菌、曲霉核酸三联检测试剂（PCR)</w:t>
            </w:r>
          </w:p>
        </w:tc>
        <w:tc>
          <w:tcPr>
            <w:tcW w:w="7121" w:type="dxa"/>
            <w:tcBorders>
              <w:top w:val="single" w:color="auto" w:sz="4" w:space="0"/>
              <w:left w:val="single" w:color="000000" w:sz="4" w:space="0"/>
              <w:bottom w:val="nil"/>
              <w:right w:val="single" w:color="000000" w:sz="4" w:space="0"/>
            </w:tcBorders>
            <w:shd w:val="clear" w:color="auto" w:fill="auto"/>
            <w:vAlign w:val="center"/>
          </w:tcPr>
          <w:p w14:paraId="5F4590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7E2790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1.预期用途:定性检测人痰液、肺泡灌洗液中深部感染真菌，包括耶氏肺孢子菌、新型隐球菌和曲霉DNA核酸。                                                  </w:t>
            </w:r>
          </w:p>
          <w:p w14:paraId="4A9A88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2.提供核酸</w:t>
            </w:r>
            <w:r>
              <w:rPr>
                <w:rFonts w:hint="eastAsia" w:ascii="宋体" w:hAnsi="宋体" w:cs="宋体"/>
                <w:i w:val="0"/>
                <w:iCs w:val="0"/>
                <w:color w:val="000000"/>
                <w:sz w:val="20"/>
                <w:szCs w:val="20"/>
                <w:u w:val="none"/>
                <w:lang w:val="en-US" w:eastAsia="zh-CN"/>
              </w:rPr>
              <w:t>检测</w:t>
            </w:r>
            <w:r>
              <w:rPr>
                <w:rFonts w:hint="eastAsia" w:ascii="宋体" w:hAnsi="宋体" w:eastAsia="宋体" w:cs="宋体"/>
                <w:i w:val="0"/>
                <w:iCs w:val="0"/>
                <w:color w:val="000000"/>
                <w:sz w:val="20"/>
                <w:szCs w:val="20"/>
                <w:u w:val="none"/>
              </w:rPr>
              <w:t>配套设备（PCR仪配套医院ABI7500和宏石SLAN96 PCR仪）。</w:t>
            </w:r>
          </w:p>
          <w:p w14:paraId="4E1108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3.每年按采购人要求提供至少1次仪器校准并提供校准报告。 </w:t>
            </w:r>
          </w:p>
          <w:p w14:paraId="2A71F9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4.提供项目配套质控品、校准品、耗材等，中标方需完成方法学性能验证或比对工作。                                                                                                                                                                         技术参数：</w:t>
            </w:r>
          </w:p>
          <w:p w14:paraId="031C73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1.需具备NMPA三类注册证。</w:t>
            </w:r>
          </w:p>
          <w:p w14:paraId="768AA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2.检测样本类型：需满足痰液、肺泡灌洗液。3.内标类型：内源性内标。</w:t>
            </w:r>
          </w:p>
          <w:p w14:paraId="235F11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3.试剂反复冻融次数：≥5次。</w:t>
            </w:r>
          </w:p>
          <w:p w14:paraId="1AC294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4.检测下限：≤500copies/mL。</w:t>
            </w:r>
          </w:p>
          <w:p w14:paraId="6CACF2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5.反应体系体积：≥45uL。</w:t>
            </w:r>
          </w:p>
          <w:p w14:paraId="26A49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6.精密度CV：CV≤5%。</w:t>
            </w:r>
          </w:p>
          <w:p w14:paraId="050A4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7.试剂效期：≥12个月。  </w:t>
            </w:r>
          </w:p>
        </w:tc>
      </w:tr>
      <w:tr w14:paraId="5F6B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7AD3A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26883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结直肠癌甲基化</w:t>
            </w:r>
          </w:p>
        </w:tc>
        <w:tc>
          <w:tcPr>
            <w:tcW w:w="7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0E6B93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353E7C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1.预期用途：结直肠癌血液多基因检测；方法学：PCR-荧光探针法；检测基因至少包含Septin9/SDC2/BCAT1。                                                        </w:t>
            </w:r>
          </w:p>
          <w:p w14:paraId="3E878E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2.提供核酸提取设备，配套本院 ABI7500、SLAN-96P、Roche 480pcr仪。                                                                             3.每年按采购人要求提供至少1次仪器校准并提供校准报告。 </w:t>
            </w:r>
          </w:p>
          <w:p w14:paraId="54D6D7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4.提供项目配套质控品、校准品、耗材等，中标方需完成方法学性能验证或比对工作。                                                                                                                                                   </w:t>
            </w:r>
            <w:r>
              <w:rPr>
                <w:rFonts w:hint="eastAsia" w:ascii="宋体" w:hAnsi="宋体" w:cs="宋体"/>
                <w:i w:val="0"/>
                <w:iCs w:val="0"/>
                <w:color w:val="000000"/>
                <w:sz w:val="20"/>
                <w:szCs w:val="20"/>
                <w:u w:val="none"/>
                <w:lang w:val="en-US" w:eastAsia="zh-CN"/>
              </w:rPr>
              <w:t>5.</w:t>
            </w:r>
            <w:r>
              <w:rPr>
                <w:rFonts w:hint="eastAsia" w:ascii="宋体" w:hAnsi="宋体" w:eastAsia="宋体" w:cs="宋体"/>
                <w:i w:val="0"/>
                <w:iCs w:val="0"/>
                <w:color w:val="000000"/>
                <w:sz w:val="20"/>
                <w:szCs w:val="20"/>
                <w:u w:val="none"/>
              </w:rPr>
              <w:t>需具备NMPA三类注册证</w:t>
            </w:r>
          </w:p>
          <w:p w14:paraId="1220FE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4513BC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1.质量控制体系 试剂盒包含阴阳性质控品和内标基因检测，无需单独加内标质控品。</w:t>
            </w:r>
          </w:p>
          <w:p w14:paraId="78CF30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2.检测标本类型：全血≤5ml。                                                       </w:t>
            </w:r>
          </w:p>
          <w:p w14:paraId="7A718A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3.试剂盒保存条件 -25℃至-15℃；试剂盒有效期≥12个月。                           </w:t>
            </w:r>
          </w:p>
          <w:p w14:paraId="2895BB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4.灵敏度 ≥84%；特异性 ≥94%；肠癌一期检出率≥76%（提供相关证明）。                  </w:t>
            </w:r>
          </w:p>
          <w:p w14:paraId="688C11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5.最低检测下限≤0.04pg/ul。                                               </w:t>
            </w:r>
          </w:p>
          <w:p w14:paraId="55ED8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6.阳性参考品检测符合率100%；阴性参考品检测符合率100%。</w:t>
            </w:r>
          </w:p>
        </w:tc>
      </w:tr>
      <w:tr w14:paraId="783E8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12395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657F2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肺癌甲基化</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69F562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7E352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1.预期用途：肺癌甲基化多基因检测；方法学：PCR-荧光探针法；检测基因至少包含  SHOX2/RASSF1A/PTGER4基因。                                                        </w:t>
            </w:r>
          </w:p>
          <w:p w14:paraId="6D8B66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2.提供核酸提取设备，配套本院 ABI7500、SLAN-96P、Roche 480pcr仪。                                                                             3.每年按采购人要求提供至少1次仪器校准并提供校准报告。 </w:t>
            </w:r>
          </w:p>
          <w:p w14:paraId="1E580844">
            <w:pPr>
              <w:keepNext w:val="0"/>
              <w:keepLines w:val="0"/>
              <w:widowControl/>
              <w:suppressLineNumbers w:val="0"/>
              <w:jc w:val="left"/>
              <w:textAlignment w:val="center"/>
              <w:rPr>
                <w:rFonts w:hint="eastAsia" w:ascii="宋体" w:hAnsi="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rPr>
              <w:t xml:space="preserve">4.提供项目配套质控品、校准品、耗材等，中标方需完成方法学性能验证或比对工作。                                                                                  </w:t>
            </w:r>
            <w:r>
              <w:rPr>
                <w:rFonts w:hint="eastAsia" w:ascii="宋体" w:hAnsi="宋体" w:cs="宋体"/>
                <w:i w:val="0"/>
                <w:iCs w:val="0"/>
                <w:color w:val="000000"/>
                <w:sz w:val="20"/>
                <w:szCs w:val="20"/>
                <w:u w:val="none"/>
                <w:lang w:val="en-US" w:eastAsia="zh-CN"/>
              </w:rPr>
              <w:t>5.</w:t>
            </w:r>
            <w:r>
              <w:rPr>
                <w:rFonts w:hint="eastAsia" w:ascii="宋体" w:hAnsi="宋体" w:eastAsia="宋体" w:cs="宋体"/>
                <w:i w:val="0"/>
                <w:iCs w:val="0"/>
                <w:color w:val="000000"/>
                <w:sz w:val="20"/>
                <w:szCs w:val="20"/>
                <w:u w:val="none"/>
              </w:rPr>
              <w:t>需具备NMPA三类注册证</w:t>
            </w:r>
          </w:p>
          <w:p w14:paraId="5BD81E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1AF30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1.质量控制体系试剂盒包含阴阳性质控品和内标基因检测，无需单独加内标质控品。</w:t>
            </w:r>
          </w:p>
          <w:p w14:paraId="39CA1B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2.检测标本类型：全血≤5ml。                                                           </w:t>
            </w:r>
          </w:p>
          <w:p w14:paraId="3C0D2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3.试剂盒保存条件 -25℃至-15℃；试剂盒有效期≥12个月。                                 </w:t>
            </w:r>
          </w:p>
          <w:p w14:paraId="10380C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4.灵敏度≥86%；特异性≥95%；肺癌一期检出率≥85%。                                   </w:t>
            </w:r>
          </w:p>
          <w:p w14:paraId="1D312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5.最低检测下限≤0.1pg/ul。                                                             </w:t>
            </w:r>
          </w:p>
          <w:p w14:paraId="293814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6.阳性参考品检测符合率100%；阴性参考品检测符合率100%。             </w:t>
            </w:r>
          </w:p>
        </w:tc>
      </w:tr>
      <w:tr w14:paraId="1C8F5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2A691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20E21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前列腺小体外泄蛋白PSEP项目</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2FC6DD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2AB132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1.预期用途:检测男性前列腺炎。                                    </w:t>
            </w:r>
          </w:p>
          <w:p w14:paraId="3CB1DC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2.提供配套设备1套。</w:t>
            </w:r>
          </w:p>
          <w:p w14:paraId="50C56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3.每年按采购人要求提供至少1次仪器校准并提供厂家校准报告。 </w:t>
            </w:r>
          </w:p>
          <w:p w14:paraId="05DE27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4.提供项目配套质控品、校准品等，中标方检测前配合完成方法学性能验证试验及仪器校准工作，并出具报告。                                                                                                                                        5.按LIS方式结算。                                                                                                                                                                                                   技术参数：                                                                    </w:t>
            </w:r>
          </w:p>
          <w:p w14:paraId="0B471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1.检测方法学：荧光免疫层析双抗体夹心法。                                                </w:t>
            </w:r>
          </w:p>
          <w:p w14:paraId="67C341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2.适用样本类型：尿液样本。                                          </w:t>
            </w:r>
          </w:p>
          <w:p w14:paraId="29EFB6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3.出报告时间：15分钟内。                                    </w:t>
            </w:r>
          </w:p>
          <w:p w14:paraId="4F227D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4.线性范围：试剂的线性范围为0.5-9.0 ng/mL，在此线性范围内，线性相关系数r≥0.990。</w:t>
            </w:r>
          </w:p>
          <w:p w14:paraId="331046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5.重复性：变异系数（CV）≤15%、批间差：变异系数（CV）≤20%。</w:t>
            </w:r>
          </w:p>
          <w:p w14:paraId="00BD7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6.准确度：相对偏差的绝对值应不大于15%。</w:t>
            </w:r>
          </w:p>
        </w:tc>
      </w:tr>
    </w:tbl>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lang w:eastAsia="zh-CN"/>
        </w:rPr>
        <w:t>三</w:t>
      </w:r>
      <w:r>
        <w:rPr>
          <w:rFonts w:hint="eastAsia" w:ascii="仿宋" w:hAnsi="仿宋" w:eastAsia="仿宋"/>
          <w:b/>
          <w:color w:val="auto"/>
          <w:sz w:val="24"/>
        </w:rPr>
        <w:t>、其他要求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1AE8EBA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1A15D7F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bookmarkStart w:id="15" w:name="_Toc104885747"/>
    </w:p>
    <w:p w14:paraId="607A5203">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w:t>
      </w:r>
      <w:r>
        <w:rPr>
          <w:rFonts w:hint="eastAsia" w:ascii="仿宋" w:hAnsi="仿宋" w:eastAsia="仿宋" w:cs="仿宋"/>
          <w:color w:val="auto"/>
          <w:sz w:val="24"/>
          <w:lang w:val="en-US" w:eastAsia="zh-CN"/>
        </w:rPr>
        <w:t>2</w:t>
      </w:r>
      <w:r>
        <w:rPr>
          <w:rFonts w:hint="eastAsia" w:ascii="仿宋" w:hAnsi="仿宋" w:eastAsia="仿宋" w:cs="仿宋"/>
          <w:color w:val="auto"/>
          <w:sz w:val="24"/>
        </w:rPr>
        <w:t>年，签约地点：绍兴大学附属医院。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1C378E0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绍兴大学附属医院2026年第三批试剂采购项目</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861EE3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674408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35515B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560E5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E6D795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绍兴大学附属医院2026年第三批试剂采购项目</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hint="eastAsia" w:ascii="仿宋" w:hAnsi="仿宋" w:eastAsia="仿宋" w:cs="仿宋"/>
          <w:b/>
          <w:color w:val="auto"/>
          <w:sz w:val="24"/>
          <w:lang w:val="en-US" w:eastAsia="zh-CN"/>
        </w:rPr>
      </w:pPr>
      <w:r>
        <w:rPr>
          <w:rFonts w:hint="eastAsia" w:ascii="仿宋" w:hAnsi="仿宋" w:eastAsia="仿宋" w:cs="仿宋"/>
          <w:b/>
          <w:color w:val="auto"/>
          <w:sz w:val="24"/>
        </w:rPr>
        <w:t>甲  方：绍兴大学附属医院</w:t>
      </w:r>
      <w:r>
        <w:rPr>
          <w:rFonts w:hint="eastAsia" w:ascii="仿宋" w:hAnsi="仿宋" w:eastAsia="仿宋" w:cs="仿宋"/>
          <w:b/>
          <w:color w:val="auto"/>
          <w:sz w:val="24"/>
          <w:lang w:val="en-US" w:eastAsia="zh-CN"/>
        </w:rPr>
        <w:t xml:space="preserve"> </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lang w:eastAsia="zh-CN"/>
        </w:rPr>
      </w:pPr>
      <w:r>
        <w:rPr>
          <w:rFonts w:hint="eastAsia" w:ascii="仿宋" w:hAnsi="仿宋" w:eastAsia="仿宋" w:cs="仿宋"/>
          <w:color w:val="auto"/>
          <w:sz w:val="24"/>
        </w:rPr>
        <w:t>甲方：绍兴大学附属医院</w:t>
      </w:r>
      <w:r>
        <w:rPr>
          <w:rFonts w:hint="eastAsia" w:ascii="仿宋" w:hAnsi="仿宋" w:eastAsia="仿宋" w:cs="仿宋"/>
          <w:color w:val="auto"/>
          <w:sz w:val="24"/>
          <w:lang w:val="en-US" w:eastAsia="zh-CN"/>
        </w:rPr>
        <w:t xml:space="preserve"> </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绍兴大学附属医院2026年第三批试剂采购项目</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绍兴大学附属医院2026年第三批试剂采购项目</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w:t>
      </w:r>
      <w:r>
        <w:rPr>
          <w:rFonts w:hint="eastAsia" w:ascii="仿宋" w:hAnsi="仿宋" w:eastAsia="仿宋" w:cs="仿宋"/>
          <w:color w:val="auto"/>
          <w:sz w:val="24"/>
          <w:lang w:val="en-US" w:eastAsia="zh-CN"/>
        </w:rPr>
        <w:t>2年</w:t>
      </w:r>
      <w:r>
        <w:rPr>
          <w:rFonts w:hint="eastAsia" w:ascii="仿宋" w:hAnsi="仿宋" w:eastAsia="仿宋" w:cs="仿宋"/>
          <w:color w:val="auto"/>
          <w:sz w:val="24"/>
        </w:rPr>
        <w:t>，采购周期结束前一个月甲方有权决定采购周期是否延长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绍兴大学附属医院2026年第三批试剂采购项目</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w:t>
      </w:r>
      <w:r>
        <w:rPr>
          <w:rFonts w:hint="eastAsia" w:ascii="仿宋" w:hAnsi="仿宋" w:eastAsia="仿宋" w:cs="仿宋"/>
          <w:b/>
          <w:color w:val="auto"/>
          <w:sz w:val="24"/>
          <w:u w:val="single"/>
          <w:lang w:val="en-US" w:eastAsia="zh-CN"/>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08AC653F">
      <w:pPr>
        <w:kinsoku/>
        <w:overflowPunct/>
        <w:topLinePunct w:val="0"/>
        <w:bidi w:val="0"/>
        <w:spacing w:line="288" w:lineRule="auto"/>
        <w:ind w:firstLine="883"/>
        <w:jc w:val="center"/>
        <w:rPr>
          <w:rFonts w:ascii="仿宋" w:hAnsi="仿宋" w:eastAsia="仿宋" w:cs="仿宋"/>
          <w:b/>
          <w:bCs/>
          <w:color w:val="auto"/>
          <w:sz w:val="44"/>
          <w:szCs w:val="40"/>
        </w:rPr>
      </w:pPr>
    </w:p>
    <w:p w14:paraId="4F3A9DF4">
      <w:pPr>
        <w:kinsoku/>
        <w:overflowPunct/>
        <w:topLinePunct w:val="0"/>
        <w:bidi w:val="0"/>
        <w:spacing w:line="288" w:lineRule="auto"/>
        <w:ind w:firstLine="883"/>
        <w:jc w:val="center"/>
        <w:rPr>
          <w:rFonts w:ascii="仿宋" w:hAnsi="仿宋" w:eastAsia="仿宋" w:cs="仿宋"/>
          <w:b/>
          <w:bCs/>
          <w:color w:val="auto"/>
          <w:sz w:val="44"/>
          <w:szCs w:val="40"/>
        </w:rPr>
      </w:pPr>
    </w:p>
    <w:p w14:paraId="0344396D">
      <w:pPr>
        <w:kinsoku/>
        <w:overflowPunct/>
        <w:topLinePunct w:val="0"/>
        <w:bidi w:val="0"/>
        <w:spacing w:line="288" w:lineRule="auto"/>
        <w:ind w:firstLine="883"/>
        <w:jc w:val="center"/>
        <w:rPr>
          <w:rFonts w:ascii="仿宋" w:hAnsi="仿宋" w:eastAsia="仿宋" w:cs="仿宋"/>
          <w:b/>
          <w:bCs/>
          <w:color w:val="auto"/>
          <w:sz w:val="44"/>
          <w:szCs w:val="40"/>
        </w:rPr>
      </w:pPr>
    </w:p>
    <w:p w14:paraId="13AC3790">
      <w:pPr>
        <w:kinsoku/>
        <w:overflowPunct/>
        <w:topLinePunct w:val="0"/>
        <w:bidi w:val="0"/>
        <w:spacing w:line="288" w:lineRule="auto"/>
        <w:ind w:firstLine="883"/>
        <w:jc w:val="center"/>
        <w:rPr>
          <w:rFonts w:ascii="仿宋" w:hAnsi="仿宋" w:eastAsia="仿宋" w:cs="仿宋"/>
          <w:b/>
          <w:bCs/>
          <w:color w:val="auto"/>
          <w:sz w:val="44"/>
          <w:szCs w:val="40"/>
        </w:rPr>
      </w:pPr>
    </w:p>
    <w:p w14:paraId="7D9DBC40">
      <w:pPr>
        <w:kinsoku/>
        <w:overflowPunct/>
        <w:topLinePunct w:val="0"/>
        <w:bidi w:val="0"/>
        <w:spacing w:line="288" w:lineRule="auto"/>
        <w:jc w:val="center"/>
        <w:rPr>
          <w:rFonts w:hint="eastAsia" w:ascii="仿宋" w:hAnsi="仿宋" w:eastAsia="仿宋" w:cs="仿宋"/>
          <w:b/>
          <w:bCs/>
          <w:color w:val="auto"/>
          <w:sz w:val="44"/>
          <w:szCs w:val="40"/>
        </w:rPr>
      </w:pPr>
    </w:p>
    <w:p w14:paraId="61CC7F22">
      <w:pPr>
        <w:kinsoku/>
        <w:overflowPunct/>
        <w:topLinePunct w:val="0"/>
        <w:bidi w:val="0"/>
        <w:spacing w:line="288" w:lineRule="auto"/>
        <w:jc w:val="center"/>
        <w:rPr>
          <w:rFonts w:hint="eastAsia" w:ascii="仿宋" w:hAnsi="仿宋" w:eastAsia="仿宋" w:cs="仿宋"/>
          <w:b/>
          <w:bCs/>
          <w:color w:val="auto"/>
          <w:sz w:val="44"/>
          <w:szCs w:val="40"/>
        </w:rPr>
      </w:pPr>
    </w:p>
    <w:p w14:paraId="6B5D8CC7">
      <w:pPr>
        <w:kinsoku/>
        <w:overflowPunct/>
        <w:topLinePunct w:val="0"/>
        <w:bidi w:val="0"/>
        <w:spacing w:line="288" w:lineRule="auto"/>
        <w:jc w:val="center"/>
        <w:rPr>
          <w:rFonts w:hint="eastAsia" w:ascii="仿宋" w:hAnsi="仿宋" w:eastAsia="仿宋" w:cs="仿宋"/>
          <w:b/>
          <w:bCs/>
          <w:color w:val="auto"/>
          <w:sz w:val="44"/>
          <w:szCs w:val="40"/>
        </w:rPr>
      </w:pPr>
    </w:p>
    <w:p w14:paraId="1A2F02B2">
      <w:pPr>
        <w:kinsoku/>
        <w:overflowPunct/>
        <w:topLinePunct w:val="0"/>
        <w:bidi w:val="0"/>
        <w:spacing w:line="288" w:lineRule="auto"/>
        <w:jc w:val="center"/>
        <w:rPr>
          <w:rFonts w:hint="eastAsia" w:ascii="仿宋" w:hAnsi="仿宋" w:eastAsia="仿宋" w:cs="仿宋"/>
          <w:b/>
          <w:bCs/>
          <w:color w:val="auto"/>
          <w:sz w:val="44"/>
          <w:szCs w:val="40"/>
        </w:rPr>
      </w:pPr>
    </w:p>
    <w:p w14:paraId="0A462B6D">
      <w:pPr>
        <w:kinsoku/>
        <w:overflowPunct/>
        <w:topLinePunct w:val="0"/>
        <w:bidi w:val="0"/>
        <w:spacing w:line="288" w:lineRule="auto"/>
        <w:jc w:val="both"/>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w:t>
      </w:r>
      <w:r>
        <w:rPr>
          <w:rFonts w:hint="eastAsia" w:ascii="仿宋" w:hAnsi="仿宋" w:eastAsia="仿宋"/>
          <w:color w:val="auto"/>
          <w:sz w:val="24"/>
          <w:lang w:val="en-US" w:eastAsia="zh-CN"/>
        </w:rPr>
        <w:t>70</w:t>
      </w:r>
      <w:r>
        <w:rPr>
          <w:rFonts w:hint="eastAsia" w:ascii="仿宋" w:hAnsi="仿宋" w:eastAsia="仿宋"/>
          <w:color w:val="auto"/>
          <w:sz w:val="24"/>
        </w:rPr>
        <w:t>分，商务分</w:t>
      </w:r>
      <w:r>
        <w:rPr>
          <w:rFonts w:hint="eastAsia" w:ascii="仿宋" w:hAnsi="仿宋" w:eastAsia="仿宋"/>
          <w:color w:val="auto"/>
          <w:sz w:val="24"/>
          <w:lang w:val="en-US" w:eastAsia="zh-CN"/>
        </w:rPr>
        <w:t>30</w:t>
      </w:r>
      <w:r>
        <w:rPr>
          <w:rFonts w:hint="eastAsia" w:ascii="仿宋" w:hAnsi="仿宋" w:eastAsia="仿宋"/>
          <w:color w:val="auto"/>
          <w:sz w:val="24"/>
        </w:rPr>
        <w:t>分。评分依下述所列为评标打分依据，分值如下（计算分值时，按其算术平均值保留小数2位）</w:t>
      </w:r>
      <w:r>
        <w:rPr>
          <w:rFonts w:hint="eastAsia" w:ascii="仿宋" w:hAnsi="仿宋" w:eastAsia="仿宋"/>
          <w:color w:val="auto"/>
          <w:sz w:val="24"/>
          <w:lang w:eastAsia="zh-CN"/>
        </w:rPr>
        <w:t>。</w:t>
      </w:r>
    </w:p>
    <w:p w14:paraId="3E5CF94D">
      <w:pPr>
        <w:kinsoku/>
        <w:overflowPunct/>
        <w:topLinePunct w:val="0"/>
        <w:bidi w:val="0"/>
        <w:spacing w:line="288" w:lineRule="auto"/>
        <w:ind w:firstLine="482" w:firstLineChars="200"/>
        <w:rPr>
          <w:rFonts w:hint="default" w:ascii="仿宋" w:hAnsi="仿宋" w:eastAsia="仿宋" w:cs="仿宋"/>
          <w:b/>
          <w:bCs/>
          <w:iCs/>
          <w:color w:val="auto"/>
          <w:sz w:val="24"/>
          <w:lang w:val="en-US"/>
        </w:rPr>
      </w:pPr>
      <w:r>
        <w:rPr>
          <w:rFonts w:hint="eastAsia" w:ascii="仿宋" w:hAnsi="仿宋" w:eastAsia="仿宋"/>
          <w:b/>
          <w:bCs/>
          <w:iCs/>
          <w:color w:val="auto"/>
          <w:sz w:val="24"/>
        </w:rPr>
        <w:t>2.</w:t>
      </w:r>
      <w:r>
        <w:rPr>
          <w:rFonts w:hint="eastAsia" w:ascii="仿宋" w:hAnsi="仿宋" w:eastAsia="仿宋"/>
          <w:b/>
          <w:bCs/>
          <w:iCs/>
          <w:color w:val="auto"/>
          <w:sz w:val="24"/>
          <w:lang w:val="en-US" w:eastAsia="zh-CN"/>
        </w:rPr>
        <w:t>1</w:t>
      </w:r>
      <w:r>
        <w:rPr>
          <w:rFonts w:hint="eastAsia" w:ascii="仿宋" w:hAnsi="仿宋" w:eastAsia="仿宋"/>
          <w:b/>
          <w:bCs/>
          <w:iCs/>
          <w:color w:val="auto"/>
          <w:sz w:val="24"/>
        </w:rPr>
        <w:t>（技术分</w:t>
      </w:r>
      <w:r>
        <w:rPr>
          <w:rFonts w:hint="eastAsia" w:ascii="仿宋" w:hAnsi="仿宋" w:eastAsia="仿宋"/>
          <w:b/>
          <w:bCs/>
          <w:iCs/>
          <w:color w:val="auto"/>
          <w:sz w:val="24"/>
          <w:lang w:val="en-US" w:eastAsia="zh-CN"/>
        </w:rPr>
        <w:t>7</w:t>
      </w:r>
      <w:r>
        <w:rPr>
          <w:rFonts w:hint="eastAsia" w:ascii="仿宋" w:hAnsi="仿宋" w:eastAsia="仿宋"/>
          <w:b/>
          <w:bCs/>
          <w:iCs/>
          <w:color w:val="auto"/>
          <w:sz w:val="24"/>
        </w:rPr>
        <w:t>0分）</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6301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705821B">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24419EF6">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5AEAD28C">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899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1054520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58020BA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2F66C08A">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5907082B">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03CD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455D14B">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60E901A9">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7917BB3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66B000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03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29D03F0">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B3C1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对投标人运营情况及效率，如经营能力和水平、经营产品的优异性等进行评价打分。(本项分值设置为3,2,1,0.5,0分)</w:t>
            </w:r>
          </w:p>
          <w:p w14:paraId="45F77B3B">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5756FBDA">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12D9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4CCFD5A1">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24EE3B8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分；二级代理得2分；其他得1分。</w:t>
            </w:r>
          </w:p>
          <w:p w14:paraId="39521FB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4F5D367">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7B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1E6543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4B2543D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年1月1日以来医疗机构使用证明材料（发票及供货合同书，目录内半数产品覆盖为准），每提供1家医院得1分，最高分值为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分；未提交材料或提交材料不符合要求的，不得分。</w:t>
            </w:r>
          </w:p>
        </w:tc>
        <w:tc>
          <w:tcPr>
            <w:tcW w:w="375" w:type="pct"/>
            <w:vAlign w:val="center"/>
          </w:tcPr>
          <w:p w14:paraId="5B49394D">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23B2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D17B7E8">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60D72727">
            <w:pPr>
              <w:kinsoku/>
              <w:overflowPunct/>
              <w:topLinePunct w:val="0"/>
              <w:bidi w:val="0"/>
              <w:adjustRightInd w:val="0"/>
              <w:spacing w:line="288" w:lineRule="auto"/>
              <w:jc w:val="left"/>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75" w:type="pct"/>
            <w:vAlign w:val="center"/>
          </w:tcPr>
          <w:p w14:paraId="4A790D1F">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575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90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47D0B65D">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2003CE5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4</w:t>
            </w:r>
          </w:p>
        </w:tc>
      </w:tr>
      <w:tr w14:paraId="0E8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1DC06B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011B9BE7">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11BA3759">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B24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D6AA7C3">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5E8B31A">
            <w:pPr>
              <w:kinsoku/>
              <w:overflowPunct/>
              <w:topLinePunct w:val="0"/>
              <w:bidi w:val="0"/>
              <w:adjustRightInd w:val="0"/>
              <w:spacing w:line="288" w:lineRule="auto"/>
              <w:jc w:val="left"/>
              <w:rPr>
                <w:rFonts w:hint="eastAsia" w:ascii="仿宋" w:hAnsi="仿宋" w:eastAsia="仿宋" w:cs="仿宋"/>
                <w:color w:val="000000"/>
                <w:sz w:val="22"/>
                <w:szCs w:val="18"/>
                <w:lang w:eastAsia="zh-CN"/>
              </w:rPr>
            </w:pPr>
            <w:r>
              <w:rPr>
                <w:rFonts w:hint="eastAsia" w:ascii="仿宋" w:hAnsi="仿宋" w:eastAsia="仿宋" w:cs="仿宋"/>
                <w:color w:val="000000"/>
                <w:sz w:val="22"/>
                <w:szCs w:val="18"/>
              </w:rPr>
              <w:t>3.对所投产品的线性和范围、有效期长短等方面进行评价打分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72208471">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3389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70C7A0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0F7630C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21EDB7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EA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0D49C797">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1FBEF2C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rPr>
              <w:t>2,1.5,1,0.5,0分)</w:t>
            </w:r>
          </w:p>
        </w:tc>
        <w:tc>
          <w:tcPr>
            <w:tcW w:w="375" w:type="pct"/>
            <w:vAlign w:val="center"/>
          </w:tcPr>
          <w:p w14:paraId="5A27B710">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7DBD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20016418">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2B565D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分，不提供相关承诺不得分。</w:t>
            </w:r>
          </w:p>
        </w:tc>
        <w:tc>
          <w:tcPr>
            <w:tcW w:w="375" w:type="pct"/>
            <w:vAlign w:val="center"/>
          </w:tcPr>
          <w:p w14:paraId="0FB0B7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2</w:t>
            </w:r>
          </w:p>
        </w:tc>
      </w:tr>
      <w:tr w14:paraId="1A6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41110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69D65F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1451932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34EBC8CB">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9F2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437E8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69222F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4C95915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5A9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6C72C64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5348B94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或其他实质性优惠条件的力度大小、可行性、合规性、对采购人是否具有实际意义等进行综合评审打分。(本项分值设置为</w:t>
            </w: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,4,3,2,1,0分)</w:t>
            </w:r>
          </w:p>
        </w:tc>
        <w:tc>
          <w:tcPr>
            <w:tcW w:w="375" w:type="pct"/>
            <w:vAlign w:val="center"/>
          </w:tcPr>
          <w:p w14:paraId="4F096858">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default" w:ascii="仿宋" w:hAnsi="仿宋" w:eastAsia="仿宋"/>
          <w:bCs/>
          <w:iCs/>
          <w:color w:val="auto"/>
          <w:sz w:val="24"/>
          <w:lang w:val="en-US" w:eastAsia="zh-CN"/>
        </w:rPr>
      </w:pPr>
      <w:r>
        <w:rPr>
          <w:rFonts w:hint="eastAsia" w:ascii="仿宋" w:hAnsi="仿宋" w:eastAsia="仿宋"/>
          <w:bCs/>
          <w:iCs/>
          <w:color w:val="auto"/>
          <w:sz w:val="24"/>
        </w:rPr>
        <w:t>投标报价得分=(评标基准价／投标报价)×</w:t>
      </w:r>
      <w:r>
        <w:rPr>
          <w:rFonts w:hint="eastAsia" w:ascii="仿宋" w:hAnsi="仿宋" w:eastAsia="仿宋"/>
          <w:bCs/>
          <w:iCs/>
          <w:color w:val="auto"/>
          <w:sz w:val="24"/>
          <w:lang w:val="en-US" w:eastAsia="zh-CN"/>
        </w:rPr>
        <w:t>3</w:t>
      </w:r>
      <w:r>
        <w:rPr>
          <w:rFonts w:hint="eastAsia" w:ascii="仿宋" w:hAnsi="仿宋" w:eastAsia="仿宋"/>
          <w:bCs/>
          <w:iCs/>
          <w:color w:val="auto"/>
          <w:sz w:val="24"/>
        </w:rPr>
        <w:t>0</w:t>
      </w: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1312"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1312;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绍兴大学附属医院2026年第三批试剂采购项目</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绍兴大学附属医院2026年第三批试剂采购项目</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60288"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60288;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绍兴大学附属医院2026年第三批试剂采购项目</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2336"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2336;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3360"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3360;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16D9A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lang w:val="zh-CN"/>
        </w:rPr>
        <w:t>.</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6</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40"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4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spacing w:line="240" w:lineRule="auto"/>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spacing w:line="240" w:lineRule="auto"/>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spacing w:line="240" w:lineRule="auto"/>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spacing w:line="240" w:lineRule="auto"/>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spacing w:line="240" w:lineRule="auto"/>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spacing w:line="240" w:lineRule="auto"/>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spacing w:line="240" w:lineRule="auto"/>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spacing w:line="240" w:lineRule="auto"/>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spacing w:line="240" w:lineRule="auto"/>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spacing w:line="240" w:lineRule="auto"/>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line="240" w:lineRule="auto"/>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line="240" w:lineRule="auto"/>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line="240" w:lineRule="auto"/>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6"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6" w:type="pct"/>
            <w:tcBorders>
              <w:top w:val="single" w:color="auto" w:sz="4" w:space="0"/>
              <w:left w:val="single" w:color="auto" w:sz="4" w:space="0"/>
              <w:bottom w:val="single" w:color="auto" w:sz="4" w:space="0"/>
              <w:right w:val="single" w:color="auto" w:sz="4" w:space="0"/>
            </w:tcBorders>
            <w:noWrap/>
            <w:vAlign w:val="center"/>
          </w:tcPr>
          <w:p w14:paraId="00DE6E3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各标段技术参数中含有基本要求条款需全部响应。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9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各标段包含所有相关配套设备、耗材、质控品、校准品、定标液、样品杯等，以保证临床使用，均包含在投标报价中，不单独报价。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31F6D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200ED82">
            <w:pPr>
              <w:snapToGrid w:val="0"/>
              <w:spacing w:before="50" w:after="50"/>
              <w:jc w:val="center"/>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w:t>
            </w:r>
          </w:p>
        </w:tc>
        <w:tc>
          <w:tcPr>
            <w:tcW w:w="3896" w:type="pct"/>
            <w:tcBorders>
              <w:top w:val="single" w:color="auto" w:sz="4" w:space="0"/>
              <w:left w:val="single" w:color="auto" w:sz="4" w:space="0"/>
              <w:bottom w:val="single" w:color="auto" w:sz="4" w:space="0"/>
              <w:right w:val="single" w:color="auto" w:sz="4" w:space="0"/>
            </w:tcBorders>
            <w:noWrap/>
            <w:vAlign w:val="center"/>
          </w:tcPr>
          <w:p w14:paraId="3A8D594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14A64287">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6FC539">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line="24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E0572F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0209773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79FA60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7BB9C51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10395D9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A6B76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C8C38F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EA6233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4322E0B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3CAA3B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EDF85C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3E73FC6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6117005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698BE2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7E46D33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4F1DBFA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B23430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2DF69B0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6EE16C9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C3383B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EAF56A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2A93E85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784ADD7E">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p>
    <w:p w14:paraId="0CDEB5E2">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6C0490D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40"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bookmarkStart w:id="18" w:name="_Toc64369808"/>
      <w:bookmarkEnd w:id="18"/>
      <w:bookmarkStart w:id="19" w:name="_Toc64369804"/>
      <w:bookmarkEnd w:id="19"/>
      <w:bookmarkStart w:id="20" w:name="_Toc64369811"/>
      <w:bookmarkEnd w:id="20"/>
      <w:bookmarkStart w:id="21" w:name="_Toc64369814"/>
      <w:bookmarkEnd w:id="21"/>
      <w:bookmarkStart w:id="22" w:name="_Toc64369806"/>
      <w:bookmarkEnd w:id="22"/>
      <w:bookmarkStart w:id="23" w:name="_Toc64369812"/>
      <w:bookmarkEnd w:id="23"/>
      <w:bookmarkStart w:id="24" w:name="_Toc64369813"/>
      <w:bookmarkEnd w:id="24"/>
      <w:bookmarkStart w:id="25" w:name="_Toc64369810"/>
      <w:bookmarkEnd w:id="25"/>
      <w:bookmarkStart w:id="26" w:name="_Toc64369807"/>
      <w:bookmarkEnd w:id="26"/>
      <w:bookmarkStart w:id="27" w:name="_Toc64369805"/>
      <w:bookmarkEnd w:id="27"/>
      <w:bookmarkStart w:id="28" w:name="_Toc64369809"/>
      <w:bookmarkEnd w:id="28"/>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4384"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4384;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5408"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5408;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0B135123">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E510589">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0B0500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0BEA81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5C279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6B5D3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2656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7DA7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BBC11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5B6BC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DAEA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EE5AA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19622AD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FF54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97CDDA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240974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746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40FD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2D3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644596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A0F71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C40C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B15CBB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46EF70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B85CB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48F41246">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2D5A7A6E">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5E804D7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06788068">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9F8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B7F372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333B1485">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1E6858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DA4A79B">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525FBBB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29833BB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26FE91C1">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337A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3DDE0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6F5BC18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0A601E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87B70F1">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F0D3">
            <w:pPr>
              <w:kinsoku/>
              <w:overflowPunct/>
              <w:topLinePunct w:val="0"/>
              <w:bidi w:val="0"/>
              <w:spacing w:line="288" w:lineRule="auto"/>
              <w:rPr>
                <w:rFonts w:ascii="仿宋" w:hAnsi="仿宋" w:eastAsia="仿宋" w:cs="仿宋"/>
                <w:color w:val="auto"/>
                <w:sz w:val="24"/>
                <w:szCs w:val="24"/>
              </w:rPr>
            </w:pPr>
          </w:p>
        </w:tc>
      </w:tr>
      <w:tr w14:paraId="11EF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78E7DB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4ACE7AE5">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C3F36DF">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9D6C54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1C29770E">
            <w:pPr>
              <w:kinsoku/>
              <w:overflowPunct/>
              <w:topLinePunct w:val="0"/>
              <w:bidi w:val="0"/>
              <w:spacing w:line="288" w:lineRule="auto"/>
              <w:rPr>
                <w:rFonts w:ascii="仿宋" w:hAnsi="仿宋" w:eastAsia="仿宋" w:cs="仿宋"/>
                <w:color w:val="auto"/>
                <w:sz w:val="24"/>
                <w:szCs w:val="24"/>
              </w:rPr>
            </w:pPr>
          </w:p>
        </w:tc>
      </w:tr>
      <w:tr w14:paraId="4EBA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47411C9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AFCC52B">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CFAC6C9">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4AB862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B13C1CF">
            <w:pPr>
              <w:kinsoku/>
              <w:overflowPunct/>
              <w:topLinePunct w:val="0"/>
              <w:bidi w:val="0"/>
              <w:spacing w:line="288" w:lineRule="auto"/>
              <w:rPr>
                <w:rFonts w:ascii="仿宋" w:hAnsi="仿宋" w:eastAsia="仿宋" w:cs="仿宋"/>
                <w:color w:val="auto"/>
                <w:sz w:val="24"/>
                <w:szCs w:val="24"/>
              </w:rPr>
            </w:pPr>
          </w:p>
        </w:tc>
      </w:tr>
    </w:tbl>
    <w:p w14:paraId="4FF3B4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25A60C0F">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747B58E8">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D309BF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E3E0AB2">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7BF079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B4C197C">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77818A8">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28BFCEC1">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318ED04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1267D1C9">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C12D2E5">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F7AD32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7DF32D6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ascii="仿宋" w:hAnsi="仿宋" w:eastAsia="仿宋" w:cs="仿宋"/>
          <w:b/>
          <w:bCs/>
          <w:color w:val="auto"/>
          <w:sz w:val="30"/>
          <w:szCs w:val="30"/>
          <w:lang w:val="en-US" w:eastAsia="zh-CN"/>
        </w:rPr>
        <w:t>12、技术响应表（如有）</w:t>
      </w:r>
    </w:p>
    <w:p w14:paraId="5022BEBC">
      <w:pPr>
        <w:kinsoku/>
        <w:overflowPunct/>
        <w:topLinePunct w:val="0"/>
        <w:bidi w:val="0"/>
        <w:snapToGrid w:val="0"/>
        <w:spacing w:before="50" w:after="156" w:afterLines="50" w:line="288" w:lineRule="auto"/>
        <w:ind w:firstLine="883"/>
        <w:jc w:val="center"/>
        <w:rPr>
          <w:rFonts w:hint="eastAsia" w:ascii="仿宋" w:hAnsi="仿宋" w:eastAsia="仿宋" w:cs="仿宋"/>
          <w:b/>
          <w:spacing w:val="40"/>
          <w:kern w:val="0"/>
          <w:sz w:val="36"/>
          <w:szCs w:val="36"/>
        </w:rPr>
      </w:pP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1E755CFA">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16、</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7" w:type="default"/>
          <w:pgSz w:w="11907" w:h="16840"/>
          <w:pgMar w:top="1247" w:right="1361" w:bottom="1134" w:left="1361" w:header="765" w:footer="82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8" w:type="default"/>
          <w:pgSz w:w="16840" w:h="11907" w:orient="landscape"/>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9"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9DDE8">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458DE">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C458DE">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28B5">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42B3E">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C42B3E">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绍兴大学附属医院2026年第三批试剂采购项目</w:t>
    </w:r>
    <w:r>
      <w:rPr>
        <w:rFonts w:hint="eastAsia"/>
      </w:rPr>
      <w:t>（</w:t>
    </w:r>
    <w:r>
      <w:rPr>
        <w:rFonts w:hint="eastAsia"/>
        <w:lang w:eastAsia="zh-CN"/>
      </w:rPr>
      <w:t>YH20</w:t>
    </w:r>
    <w:r>
      <w:rPr>
        <w:rFonts w:hint="eastAsia"/>
        <w:lang w:val="en-US" w:eastAsia="zh-CN"/>
      </w:rPr>
      <w:t>26-06018）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C342">
    <w:pPr>
      <w:pStyle w:val="20"/>
      <w:jc w:val="left"/>
      <w:rPr>
        <w:rFonts w:hint="eastAsia"/>
        <w:lang w:eastAsia="zh-CN"/>
      </w:rPr>
    </w:pPr>
    <w:r>
      <w:rPr>
        <w:rFonts w:hint="eastAsia"/>
        <w:lang w:eastAsia="zh-CN"/>
      </w:rPr>
      <w:t>绍兴大学附属医院2026年第三批试剂采购项目</w:t>
    </w:r>
    <w:r>
      <w:rPr>
        <w:rFonts w:hint="eastAsia"/>
      </w:rPr>
      <w:t>（</w:t>
    </w:r>
    <w:r>
      <w:rPr>
        <w:rFonts w:hint="eastAsia"/>
        <w:lang w:eastAsia="zh-CN"/>
      </w:rPr>
      <w:t>YH20</w:t>
    </w:r>
    <w:r>
      <w:rPr>
        <w:rFonts w:hint="eastAsia"/>
        <w:lang w:val="en-US" w:eastAsia="zh-CN"/>
      </w:rPr>
      <w:t>26-04022）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3D8E">
    <w:pPr>
      <w:pStyle w:val="20"/>
      <w:jc w:val="left"/>
    </w:pPr>
    <w:r>
      <w:rPr>
        <w:rFonts w:hint="eastAsia"/>
        <w:lang w:eastAsia="zh-CN"/>
      </w:rPr>
      <w:t>绍兴大学附属医院2026年第三批试剂采购项目</w:t>
    </w:r>
    <w:r>
      <w:rPr>
        <w:rFonts w:hint="eastAsia"/>
      </w:rPr>
      <w:t>（</w:t>
    </w:r>
    <w:r>
      <w:rPr>
        <w:rFonts w:hint="eastAsia"/>
        <w:lang w:eastAsia="zh-CN"/>
      </w:rPr>
      <w:t>YH20</w:t>
    </w:r>
    <w:r>
      <w:rPr>
        <w:rFonts w:hint="eastAsia"/>
        <w:lang w:val="en-US" w:eastAsia="zh-CN"/>
      </w:rPr>
      <w:t>26-04022）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85444F"/>
    <w:rsid w:val="0ACE4FD1"/>
    <w:rsid w:val="0B464611"/>
    <w:rsid w:val="0B674587"/>
    <w:rsid w:val="0BB023D2"/>
    <w:rsid w:val="0BC03B57"/>
    <w:rsid w:val="0BDF5878"/>
    <w:rsid w:val="0BE8147C"/>
    <w:rsid w:val="0C174A27"/>
    <w:rsid w:val="0C5D60B6"/>
    <w:rsid w:val="0CED2080"/>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E4179C"/>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573257"/>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650225"/>
    <w:rsid w:val="357F469A"/>
    <w:rsid w:val="358B6F41"/>
    <w:rsid w:val="35B73D61"/>
    <w:rsid w:val="35D25471"/>
    <w:rsid w:val="360D6D47"/>
    <w:rsid w:val="36985AF3"/>
    <w:rsid w:val="36BE1319"/>
    <w:rsid w:val="37235D83"/>
    <w:rsid w:val="379072A9"/>
    <w:rsid w:val="37DA7A5B"/>
    <w:rsid w:val="382A0C8B"/>
    <w:rsid w:val="3850718D"/>
    <w:rsid w:val="38673C95"/>
    <w:rsid w:val="388047C1"/>
    <w:rsid w:val="39A405D1"/>
    <w:rsid w:val="39C40DE5"/>
    <w:rsid w:val="3A405C7B"/>
    <w:rsid w:val="3A8C7023"/>
    <w:rsid w:val="3AA374A5"/>
    <w:rsid w:val="3AB60176"/>
    <w:rsid w:val="3ABB5337"/>
    <w:rsid w:val="3B62605C"/>
    <w:rsid w:val="3C30773C"/>
    <w:rsid w:val="3C9B5361"/>
    <w:rsid w:val="3D2A2A57"/>
    <w:rsid w:val="3D364D7F"/>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AC6616E"/>
    <w:rsid w:val="4B432979"/>
    <w:rsid w:val="4CEF795D"/>
    <w:rsid w:val="4D213554"/>
    <w:rsid w:val="4D394357"/>
    <w:rsid w:val="4D5F6546"/>
    <w:rsid w:val="4D9349AB"/>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CB00EB7"/>
    <w:rsid w:val="5D081B2B"/>
    <w:rsid w:val="5D937328"/>
    <w:rsid w:val="5F5038BD"/>
    <w:rsid w:val="5F7268F8"/>
    <w:rsid w:val="602D27C4"/>
    <w:rsid w:val="60883B6A"/>
    <w:rsid w:val="60DB671F"/>
    <w:rsid w:val="60F635C7"/>
    <w:rsid w:val="61566C51"/>
    <w:rsid w:val="61DF02F6"/>
    <w:rsid w:val="62CB0D33"/>
    <w:rsid w:val="63C3055D"/>
    <w:rsid w:val="63E322D9"/>
    <w:rsid w:val="63FB4E0D"/>
    <w:rsid w:val="64665646"/>
    <w:rsid w:val="656637F5"/>
    <w:rsid w:val="65C60088"/>
    <w:rsid w:val="66B111C2"/>
    <w:rsid w:val="67845082"/>
    <w:rsid w:val="68A3173F"/>
    <w:rsid w:val="691663C7"/>
    <w:rsid w:val="6922138F"/>
    <w:rsid w:val="69365B47"/>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98470F6"/>
    <w:rsid w:val="7A064AD5"/>
    <w:rsid w:val="7A4D5B16"/>
    <w:rsid w:val="7A631723"/>
    <w:rsid w:val="7A8227E7"/>
    <w:rsid w:val="7BFC43B0"/>
    <w:rsid w:val="7CFD1A9F"/>
    <w:rsid w:val="7DD5231C"/>
    <w:rsid w:val="7E1D2B1E"/>
    <w:rsid w:val="7E7C73E8"/>
    <w:rsid w:val="7FB43B2F"/>
    <w:rsid w:val="7FB70CE9"/>
    <w:rsid w:val="7FC66853"/>
    <w:rsid w:val="7FCC2BD5"/>
    <w:rsid w:val="7FEE56CF"/>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64</Pages>
  <Words>17418</Words>
  <Characters>19176</Characters>
  <Lines>392</Lines>
  <Paragraphs>110</Paragraphs>
  <TotalTime>4</TotalTime>
  <ScaleCrop>false</ScaleCrop>
  <LinksUpToDate>false</LinksUpToDate>
  <CharactersWithSpaces>22605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2026-06-10T06:50:00Z</cp:lastPrinted>
  <dcterms:modified xsi:type="dcterms:W3CDTF">2026-07-09T07:59:07Z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