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r>
        <w:rPr>
          <w:rFonts w:hint="eastAsia" w:ascii="仿宋" w:hAnsi="仿宋" w:eastAsia="仿宋" w:cs="仿宋"/>
          <w:b/>
          <w:color w:val="auto"/>
          <w:sz w:val="48"/>
          <w:szCs w:val="48"/>
          <w:lang w:eastAsia="zh-CN"/>
        </w:rPr>
        <w:t>绍兴大学附属医院2026年第二批试剂采购项目</w:t>
      </w: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w:t>
      </w:r>
      <w:r>
        <w:rPr>
          <w:rFonts w:hint="eastAsia" w:ascii="仿宋" w:hAnsi="仿宋" w:eastAsia="仿宋" w:cs="仿宋"/>
          <w:color w:val="auto"/>
          <w:sz w:val="28"/>
          <w:szCs w:val="28"/>
          <w:lang w:val="en-US" w:eastAsia="zh-CN"/>
        </w:rPr>
        <w:t>-06017</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footerReference r:id="rId6" w:type="first"/>
          <w:headerReference r:id="rId3" w:type="default"/>
          <w:footerReference r:id="rId5"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32273255"/>
      <w:bookmarkStart w:id="2" w:name="_Hlk113894197"/>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绍兴大学附属医院2026年第二批试剂采购项目</w:t>
      </w:r>
    </w:p>
    <w:p w14:paraId="0126D371">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eastAsia="zh-CN"/>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w:t>
      </w:r>
      <w:r>
        <w:rPr>
          <w:rFonts w:hint="eastAsia" w:ascii="仿宋" w:hAnsi="仿宋" w:eastAsia="仿宋" w:cs="仿宋"/>
          <w:b w:val="0"/>
          <w:bCs w:val="0"/>
          <w:color w:val="auto"/>
          <w:sz w:val="24"/>
          <w:lang w:val="en-US" w:eastAsia="zh-CN"/>
        </w:rPr>
        <w:t>6-06017</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绍兴大学附属医院2026年第二批试剂采购项目</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1753900</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DC7741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DD87E1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022F32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3.项目配套服务中涉及提供的设备，供应商须承诺根据临床要求，接入医院LIS/HIS系统，相应费用包含在投标报价中，不单独报价。</w:t>
      </w:r>
    </w:p>
    <w:p w14:paraId="17BF422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4.各标段技术参数中含有基本要求条款需全部响应。</w:t>
      </w:r>
    </w:p>
    <w:p w14:paraId="056D9E3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5.各标段包含所有相关配套设备、耗材、质控品、校准品、定标液、样品杯等，以保证临床使用，均包含在投标报价中，不单独报价。</w:t>
      </w:r>
    </w:p>
    <w:p w14:paraId="2ABEEE5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6.配送需要通过绍兴大学附属医院SPD物资管理系统进行配送结算，产生费用由供应商与SPD管理公司自行协商。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 xml:space="preserve"> </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00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6"/>
      <w:bookmarkEnd w:id="5"/>
      <w:bookmarkStart w:id="6" w:name="_Hlt10553107"/>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 xml:space="preserve"> 月 </w:t>
      </w:r>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7E2EE211">
      <w:pPr>
        <w:kinsoku/>
        <w:overflowPunct/>
        <w:topLinePunct w:val="0"/>
        <w:bidi w:val="0"/>
        <w:spacing w:line="288" w:lineRule="auto"/>
        <w:jc w:val="center"/>
        <w:rPr>
          <w:rFonts w:hint="eastAsia" w:ascii="仿宋" w:hAnsi="仿宋" w:eastAsia="仿宋" w:cs="仿宋"/>
          <w:b/>
          <w:bCs/>
          <w:color w:val="auto"/>
          <w:sz w:val="44"/>
          <w:szCs w:val="44"/>
        </w:rPr>
      </w:pPr>
    </w:p>
    <w:p w14:paraId="1682F924">
      <w:pPr>
        <w:kinsoku/>
        <w:overflowPunct/>
        <w:topLinePunct w:val="0"/>
        <w:bidi w:val="0"/>
        <w:spacing w:line="288" w:lineRule="auto"/>
        <w:jc w:val="center"/>
        <w:rPr>
          <w:rFonts w:hint="eastAsia" w:ascii="仿宋" w:hAnsi="仿宋" w:eastAsia="仿宋" w:cs="仿宋"/>
          <w:b/>
          <w:bCs/>
          <w:color w:val="auto"/>
          <w:sz w:val="44"/>
          <w:szCs w:val="44"/>
        </w:rPr>
      </w:pPr>
    </w:p>
    <w:p w14:paraId="1589100F">
      <w:pPr>
        <w:kinsoku/>
        <w:overflowPunct/>
        <w:topLinePunct w:val="0"/>
        <w:bidi w:val="0"/>
        <w:spacing w:line="288" w:lineRule="auto"/>
        <w:jc w:val="center"/>
        <w:rPr>
          <w:rFonts w:hint="eastAsia" w:ascii="仿宋" w:hAnsi="仿宋" w:eastAsia="仿宋" w:cs="仿宋"/>
          <w:b/>
          <w:bCs/>
          <w:color w:val="auto"/>
          <w:sz w:val="44"/>
          <w:szCs w:val="44"/>
        </w:rPr>
      </w:pPr>
    </w:p>
    <w:p w14:paraId="32F4C71D">
      <w:pPr>
        <w:kinsoku/>
        <w:overflowPunct/>
        <w:topLinePunct w:val="0"/>
        <w:bidi w:val="0"/>
        <w:spacing w:line="288" w:lineRule="auto"/>
        <w:jc w:val="center"/>
        <w:rPr>
          <w:rFonts w:hint="eastAsia" w:ascii="仿宋" w:hAnsi="仿宋" w:eastAsia="仿宋" w:cs="仿宋"/>
          <w:b/>
          <w:bCs/>
          <w:color w:val="auto"/>
          <w:sz w:val="44"/>
          <w:szCs w:val="44"/>
        </w:rPr>
      </w:pPr>
    </w:p>
    <w:p w14:paraId="4ECF8573">
      <w:pPr>
        <w:kinsoku/>
        <w:overflowPunct/>
        <w:topLinePunct w:val="0"/>
        <w:bidi w:val="0"/>
        <w:spacing w:line="288" w:lineRule="auto"/>
        <w:jc w:val="center"/>
        <w:rPr>
          <w:rFonts w:hint="eastAsia" w:ascii="仿宋" w:hAnsi="仿宋" w:eastAsia="仿宋" w:cs="仿宋"/>
          <w:b/>
          <w:bCs/>
          <w:color w:val="auto"/>
          <w:sz w:val="44"/>
          <w:szCs w:val="44"/>
        </w:rPr>
      </w:pPr>
    </w:p>
    <w:p w14:paraId="2DF316A1">
      <w:pPr>
        <w:kinsoku/>
        <w:overflowPunct/>
        <w:topLinePunct w:val="0"/>
        <w:bidi w:val="0"/>
        <w:spacing w:line="288" w:lineRule="auto"/>
        <w:jc w:val="center"/>
        <w:rPr>
          <w:rFonts w:hint="eastAsia" w:ascii="仿宋" w:hAnsi="仿宋" w:eastAsia="仿宋" w:cs="仿宋"/>
          <w:b/>
          <w:bCs/>
          <w:color w:val="auto"/>
          <w:sz w:val="44"/>
          <w:szCs w:val="44"/>
        </w:rPr>
      </w:pPr>
    </w:p>
    <w:p w14:paraId="5D386BE2">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w:t>
            </w:r>
            <w:r>
              <w:rPr>
                <w:rFonts w:hint="eastAsia" w:ascii="仿宋" w:hAnsi="仿宋" w:eastAsia="仿宋" w:cs="仿宋"/>
                <w:b/>
                <w:color w:val="auto"/>
                <w:sz w:val="24"/>
                <w:highlight w:val="none"/>
              </w:rPr>
              <w:t>正本一份，副本</w:t>
            </w:r>
            <w:r>
              <w:rPr>
                <w:rFonts w:hint="eastAsia" w:ascii="仿宋" w:hAnsi="仿宋" w:eastAsia="仿宋" w:cs="仿宋"/>
                <w:b/>
                <w:color w:val="auto"/>
                <w:sz w:val="24"/>
                <w:highlight w:val="none"/>
                <w:lang w:eastAsia="zh-CN"/>
              </w:rPr>
              <w:t>四</w:t>
            </w:r>
            <w:r>
              <w:rPr>
                <w:rFonts w:hint="eastAsia" w:ascii="仿宋" w:hAnsi="仿宋" w:eastAsia="仿宋" w:cs="仿宋"/>
                <w:b/>
                <w:color w:val="auto"/>
                <w:sz w:val="24"/>
                <w:highlight w:val="none"/>
              </w:rPr>
              <w:t>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w:t>
            </w:r>
            <w:r>
              <w:rPr>
                <w:rFonts w:hint="eastAsia" w:ascii="仿宋" w:hAnsi="仿宋" w:eastAsia="仿宋" w:cs="仿宋"/>
                <w:color w:val="auto"/>
                <w:sz w:val="24"/>
                <w:lang w:val="en-US" w:eastAsia="zh-CN"/>
              </w:rPr>
              <w:t>2</w:t>
            </w:r>
            <w:r>
              <w:rPr>
                <w:rFonts w:hint="eastAsia" w:ascii="仿宋" w:hAnsi="仿宋" w:eastAsia="仿宋" w:cs="仿宋"/>
                <w:color w:val="auto"/>
                <w:sz w:val="24"/>
              </w:rPr>
              <w:t>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3E14C10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5EC785D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p>
    <w:p w14:paraId="50FA195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投标产品质量相关证明材料</w:t>
      </w:r>
      <w:r>
        <w:rPr>
          <w:rFonts w:hint="eastAsia" w:ascii="仿宋" w:hAnsi="仿宋" w:eastAsia="仿宋" w:cs="仿宋"/>
          <w:color w:val="auto"/>
          <w:highlight w:val="none"/>
          <w:lang w:eastAsia="zh-CN"/>
        </w:rPr>
        <w:t>；</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2A15442C">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40"/>
          <w:szCs w:val="36"/>
        </w:rPr>
      </w:pPr>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50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9"/>
        <w:gridCol w:w="815"/>
        <w:gridCol w:w="743"/>
        <w:gridCol w:w="2534"/>
        <w:gridCol w:w="1136"/>
        <w:gridCol w:w="684"/>
        <w:gridCol w:w="932"/>
        <w:gridCol w:w="845"/>
        <w:gridCol w:w="1193"/>
      </w:tblGrid>
      <w:tr w14:paraId="4FBD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10EA">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标段</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417F">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标段名称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85ACA">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目录序号</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F4CF">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目录名称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8A74">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参考规格、型号</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5D5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单位</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2F280">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cs="宋体"/>
                <w:b/>
                <w:bCs/>
                <w:i w:val="0"/>
                <w:iCs w:val="0"/>
                <w:color w:val="000000"/>
                <w:kern w:val="0"/>
                <w:sz w:val="18"/>
                <w:szCs w:val="18"/>
                <w:u w:val="none"/>
                <w:lang w:val="en-US" w:eastAsia="zh-CN" w:bidi="ar"/>
              </w:rPr>
              <w:t>参考</w:t>
            </w:r>
            <w:r>
              <w:rPr>
                <w:rFonts w:hint="eastAsia" w:ascii="宋体" w:hAnsi="宋体" w:eastAsia="宋体" w:cs="宋体"/>
                <w:b/>
                <w:bCs/>
                <w:i w:val="0"/>
                <w:iCs w:val="0"/>
                <w:color w:val="000000"/>
                <w:kern w:val="0"/>
                <w:sz w:val="18"/>
                <w:szCs w:val="18"/>
                <w:u w:val="none"/>
                <w:lang w:val="en-US" w:eastAsia="zh-CN" w:bidi="ar"/>
              </w:rPr>
              <w:t>年使用量</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E56A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cs="宋体"/>
                <w:b/>
                <w:bCs/>
                <w:i w:val="0"/>
                <w:iCs w:val="0"/>
                <w:color w:val="000000"/>
                <w:kern w:val="0"/>
                <w:sz w:val="18"/>
                <w:szCs w:val="18"/>
                <w:u w:val="none"/>
                <w:lang w:val="en-US" w:eastAsia="zh-CN" w:bidi="ar"/>
              </w:rPr>
              <w:t>上限价</w:t>
            </w:r>
            <w:r>
              <w:rPr>
                <w:rFonts w:hint="eastAsia" w:ascii="宋体" w:hAnsi="宋体" w:eastAsia="宋体" w:cs="宋体"/>
                <w:b/>
                <w:bCs/>
                <w:i w:val="0"/>
                <w:iCs w:val="0"/>
                <w:color w:val="000000"/>
                <w:kern w:val="0"/>
                <w:sz w:val="18"/>
                <w:szCs w:val="18"/>
                <w:u w:val="none"/>
                <w:lang w:val="en-US" w:eastAsia="zh-CN" w:bidi="ar"/>
              </w:rPr>
              <w:t>（元）</w:t>
            </w:r>
          </w:p>
        </w:tc>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6B817">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cs="宋体"/>
                <w:b/>
                <w:bCs/>
                <w:i w:val="0"/>
                <w:iCs w:val="0"/>
                <w:color w:val="000000"/>
                <w:kern w:val="0"/>
                <w:sz w:val="18"/>
                <w:szCs w:val="18"/>
                <w:u w:val="none"/>
                <w:lang w:val="en-US" w:eastAsia="zh-CN" w:bidi="ar"/>
              </w:rPr>
              <w:t>参考</w:t>
            </w:r>
            <w:r>
              <w:rPr>
                <w:rFonts w:hint="eastAsia" w:ascii="宋体" w:hAnsi="宋体" w:eastAsia="宋体" w:cs="宋体"/>
                <w:b/>
                <w:bCs/>
                <w:i w:val="0"/>
                <w:iCs w:val="0"/>
                <w:color w:val="000000"/>
                <w:kern w:val="0"/>
                <w:sz w:val="18"/>
                <w:szCs w:val="18"/>
                <w:u w:val="none"/>
                <w:lang w:val="en-US" w:eastAsia="zh-CN" w:bidi="ar"/>
              </w:rPr>
              <w:t>年使用</w:t>
            </w:r>
            <w:r>
              <w:rPr>
                <w:rFonts w:hint="eastAsia" w:ascii="宋体" w:hAnsi="宋体" w:cs="宋体"/>
                <w:b/>
                <w:bCs/>
                <w:i w:val="0"/>
                <w:iCs w:val="0"/>
                <w:color w:val="000000"/>
                <w:kern w:val="0"/>
                <w:sz w:val="18"/>
                <w:szCs w:val="18"/>
                <w:u w:val="none"/>
                <w:lang w:val="en-US" w:eastAsia="zh-CN" w:bidi="ar"/>
              </w:rPr>
              <w:t>金额</w:t>
            </w:r>
            <w:r>
              <w:rPr>
                <w:rFonts w:hint="eastAsia" w:ascii="宋体" w:hAnsi="宋体" w:eastAsia="宋体" w:cs="宋体"/>
                <w:b/>
                <w:bCs/>
                <w:i w:val="0"/>
                <w:iCs w:val="0"/>
                <w:color w:val="000000"/>
                <w:kern w:val="0"/>
                <w:sz w:val="18"/>
                <w:szCs w:val="18"/>
                <w:u w:val="none"/>
                <w:lang w:val="en-US" w:eastAsia="zh-CN" w:bidi="ar"/>
              </w:rPr>
              <w:t>（元）</w:t>
            </w:r>
          </w:p>
        </w:tc>
      </w:tr>
      <w:tr w14:paraId="7F6B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F5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23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生化仪电解质等7项</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1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7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WASH SOLUTION/生化清洗液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4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2L/桶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8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B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E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8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8685</w:t>
            </w:r>
          </w:p>
        </w:tc>
      </w:tr>
      <w:tr w14:paraId="5034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6E5B4">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6AE1B">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C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2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电解质标准液（低值）</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8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7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7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B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1145</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8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2290</w:t>
            </w:r>
          </w:p>
        </w:tc>
      </w:tr>
      <w:tr w14:paraId="3F279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0501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131FF">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0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B4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电解质标准液（高值）</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0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39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7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FD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8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1836</w:t>
            </w:r>
          </w:p>
        </w:tc>
      </w:tr>
      <w:tr w14:paraId="22290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C05F2">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59F04">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4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1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电解质缓冲液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6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2000ml/桶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3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5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A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1656</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8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24840</w:t>
            </w:r>
          </w:p>
        </w:tc>
      </w:tr>
      <w:tr w14:paraId="30241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606A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2DDB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D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D0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电解质内标液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8F6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2000ml/桶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DF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92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F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B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37260</w:t>
            </w:r>
          </w:p>
        </w:tc>
      </w:tr>
      <w:tr w14:paraId="47606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B5AA8">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F80B0">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2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4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电解质参比液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93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1000ml/桶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7E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4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B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D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7530</w:t>
            </w:r>
          </w:p>
        </w:tc>
      </w:tr>
      <w:tr w14:paraId="1A018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75E75">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D4680">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F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92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电极清洗液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94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1*450ml</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1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9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B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4023</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2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12069</w:t>
            </w:r>
          </w:p>
        </w:tc>
      </w:tr>
      <w:tr w14:paraId="40FD5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C1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77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生化仪电解质等6项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9B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88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钠、钾、氯离子浓度检测内部标准液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9B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2000ml/瓶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5F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D9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1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15750</w:t>
            </w:r>
          </w:p>
        </w:tc>
      </w:tr>
      <w:tr w14:paraId="12CF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08CF2">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75DA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1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D0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钠、钾、氯离子浓度检测参比电极液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72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2D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7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A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8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16800</w:t>
            </w:r>
          </w:p>
        </w:tc>
      </w:tr>
      <w:tr w14:paraId="4843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309B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CE02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01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65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ISE用清洗液N</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1F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100ml/瓶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4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1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A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C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r>
      <w:tr w14:paraId="5708D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434D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31136">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9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8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ISE定标高值</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AA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10ml/瓶×3瓶/盒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3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F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5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72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r>
      <w:tr w14:paraId="7EAC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C1D26">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F0B1F">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C7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DDD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ISE定标低值</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0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10ml/瓶×3瓶/盒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89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18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A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A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r>
      <w:tr w14:paraId="30F73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58C9C">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8EB85">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64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23" w:type="pct"/>
            <w:tcBorders>
              <w:top w:val="single" w:color="000000" w:sz="4" w:space="0"/>
              <w:left w:val="single" w:color="000000" w:sz="4" w:space="0"/>
              <w:bottom w:val="single" w:color="000000" w:themeColor="text1" w:sz="4" w:space="0"/>
              <w:right w:val="single" w:color="000000" w:sz="4" w:space="0"/>
            </w:tcBorders>
            <w:shd w:val="clear" w:color="auto" w:fill="auto"/>
            <w:vAlign w:val="center"/>
          </w:tcPr>
          <w:p w14:paraId="179C3B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电解质样本稀释液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C9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2L/瓶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43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6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4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89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8100</w:t>
            </w:r>
          </w:p>
        </w:tc>
      </w:tr>
      <w:tr w14:paraId="64A9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D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425" w:type="pct"/>
            <w:tcBorders>
              <w:top w:val="single" w:color="000000" w:sz="4" w:space="0"/>
              <w:left w:val="single" w:color="000000" w:sz="4" w:space="0"/>
              <w:bottom w:val="nil"/>
              <w:right w:val="single" w:color="000000" w:sz="4" w:space="0"/>
            </w:tcBorders>
            <w:shd w:val="clear" w:color="auto" w:fill="auto"/>
            <w:vAlign w:val="center"/>
          </w:tcPr>
          <w:p w14:paraId="159D9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尿常规</w:t>
            </w:r>
          </w:p>
        </w:tc>
        <w:tc>
          <w:tcPr>
            <w:tcW w:w="388" w:type="pct"/>
            <w:tcBorders>
              <w:top w:val="single" w:color="000000" w:sz="4" w:space="0"/>
              <w:left w:val="single" w:color="000000" w:sz="4" w:space="0"/>
              <w:bottom w:val="single" w:color="000000" w:sz="4" w:space="0"/>
              <w:right w:val="single" w:color="000000" w:themeColor="text1" w:sz="4" w:space="0"/>
            </w:tcBorders>
            <w:shd w:val="clear" w:color="auto" w:fill="auto"/>
            <w:vAlign w:val="center"/>
          </w:tcPr>
          <w:p w14:paraId="2B09D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vAlign w:val="center"/>
          </w:tcPr>
          <w:p w14:paraId="56C68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尿有形成份及干化</w:t>
            </w:r>
            <w:bookmarkStart w:id="31" w:name="_GoBack"/>
            <w:bookmarkEnd w:id="31"/>
            <w:r>
              <w:rPr>
                <w:rFonts w:hint="eastAsia" w:ascii="宋体" w:hAnsi="宋体" w:eastAsia="宋体" w:cs="宋体"/>
                <w:i w:val="0"/>
                <w:iCs w:val="0"/>
                <w:color w:val="000000"/>
                <w:kern w:val="0"/>
                <w:sz w:val="18"/>
                <w:szCs w:val="18"/>
                <w:u w:val="none"/>
                <w:lang w:val="en-US" w:eastAsia="zh-CN" w:bidi="ar"/>
              </w:rPr>
              <w:t>学检测</w:t>
            </w:r>
          </w:p>
        </w:tc>
        <w:tc>
          <w:tcPr>
            <w:tcW w:w="593" w:type="pct"/>
            <w:tcBorders>
              <w:top w:val="single" w:color="000000" w:sz="4" w:space="0"/>
              <w:left w:val="single" w:color="000000" w:themeColor="text1" w:sz="4" w:space="0"/>
              <w:bottom w:val="single" w:color="000000" w:sz="4" w:space="0"/>
              <w:right w:val="single" w:color="000000" w:sz="4" w:space="0"/>
            </w:tcBorders>
            <w:shd w:val="clear" w:color="auto" w:fill="auto"/>
            <w:vAlign w:val="center"/>
          </w:tcPr>
          <w:p w14:paraId="5745F0C1">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37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DE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40000</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B4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D8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272000</w:t>
            </w:r>
          </w:p>
        </w:tc>
      </w:tr>
      <w:tr w14:paraId="02CF4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F2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55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血栓四项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DC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themeColor="text1" w:sz="4" w:space="0"/>
              <w:left w:val="single" w:color="000000" w:sz="4" w:space="0"/>
              <w:bottom w:val="single" w:color="000000" w:sz="4" w:space="0"/>
              <w:right w:val="single" w:color="000000" w:sz="4" w:space="0"/>
            </w:tcBorders>
            <w:shd w:val="clear" w:color="auto" w:fill="auto"/>
            <w:vAlign w:val="center"/>
          </w:tcPr>
          <w:p w14:paraId="698C2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凝血酶-抗凝血酶Ⅲ复合物（TAT）测定试剂盒</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BC4B">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A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89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9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9E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r>
      <w:tr w14:paraId="1C149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2FDFD">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4AA4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AF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C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纤溶酶-α2 纤溶酶抑制剂复合物(PIC)测定试剂盒</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A837">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D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F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66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F9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r>
      <w:tr w14:paraId="3ECC7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E552D">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CECB7">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3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4D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血栓调节蛋白（TM）测定试剂盒</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A729">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D7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A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FB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82C2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r>
      <w:tr w14:paraId="4C22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53D90">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57519">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5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2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组织纤溶酶原激活物-纤溶酶原激活物抑制剂-1 复合物（tPAI.C）测定试剂盒</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7BBC0">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FE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4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2A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B8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r>
      <w:tr w14:paraId="7B595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08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46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凝血2项</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B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B8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抗凝血酶Ⅲ</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56A3">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4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1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80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FB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t>
            </w:r>
          </w:p>
        </w:tc>
      </w:tr>
      <w:tr w14:paraId="2CF4F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D4DE1">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C240">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7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5A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纤维蛋白（原）降解产物</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A74A">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E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D0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7D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A4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r>
      <w:tr w14:paraId="0C517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nil"/>
              <w:right w:val="single" w:color="000000" w:sz="4" w:space="0"/>
            </w:tcBorders>
            <w:shd w:val="clear" w:color="auto" w:fill="auto"/>
            <w:vAlign w:val="center"/>
          </w:tcPr>
          <w:p w14:paraId="720BB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425" w:type="pct"/>
            <w:vMerge w:val="restart"/>
            <w:tcBorders>
              <w:top w:val="single" w:color="000000" w:sz="4" w:space="0"/>
              <w:left w:val="single" w:color="000000" w:sz="4" w:space="0"/>
              <w:bottom w:val="nil"/>
              <w:right w:val="single" w:color="000000" w:sz="4" w:space="0"/>
            </w:tcBorders>
            <w:shd w:val="clear" w:color="auto" w:fill="auto"/>
            <w:vAlign w:val="center"/>
          </w:tcPr>
          <w:p w14:paraId="22D0C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常规药敏纸片试剂</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C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C5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厄他培南药敏实验纸片（扩散法）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F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D54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C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8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06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F41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F75FFEC">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05E0A18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B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68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磺胺甲恶唑/甲氧苄啶药敏实验纸片（扩散法）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48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E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F6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6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A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736F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790AB08">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276C6BD">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9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7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哌拉西林/他唑巴坦药敏实验纸片（扩散法）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B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A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6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12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EA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5AF5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E8BEB27">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5914397">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6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5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替加环素药敏实验纸片（扩散法）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9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8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34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D1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F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5C8BB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1C1580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001EF21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F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89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氨苄西林/舒巴坦药敏实验纸片（扩散法）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94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2C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C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F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7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EEC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68B52290">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A488AE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5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9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磷霉素/氨丁三醇药敏实验纸片（扩散法）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0A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59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9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52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5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18BBB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BAC81F6">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4C3378D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6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A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头孢哌酮/舒巴坦药敏实验纸片（扩散法）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C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90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E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5A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6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5B9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BE75EA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647898A">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5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2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氨苄西林药敏实验纸片（扩散法）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5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24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7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5C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F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12B6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B83E50A">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B8F369C">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40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9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万古霉素药敏实验纸片（扩散法）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C9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64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5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D1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F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D635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6006C13C">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651DF8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1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A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克林霉素药敏实验纸片（扩散法）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9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95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B1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7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A0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4CBF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F9D2784">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68E21B54">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60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68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利奈唑胺药敏实验纸片（扩散法）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E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3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0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5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9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7C279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FB0299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C8298DC">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8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99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哌拉西林药敏实验纸片（扩散法）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58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D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6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A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80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9CB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B0D1FA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0A58015">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9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02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四环素药敏实验纸片（扩散法）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F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5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4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1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7E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32A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42F7DDD">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C90F14D">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2F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7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头孢吡肟药敏实验纸片（扩散法）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D7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E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0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12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DB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74D8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3BE8A9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D2A0D7A">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0D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A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头孢呋辛钠药敏实验纸片（扩散法）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E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44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6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1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B1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4268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3C64F9C">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7CC30D1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A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D74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头孢哌酮药敏实验纸片（扩散法）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6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D1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7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C6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2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105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90CFB0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61E2D41">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D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D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头孢唑啉药敏实验纸片（扩散法）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F1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9E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97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F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3A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136B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FE5517D">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625C882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D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C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头孢噻肟药敏实验纸片（扩散法）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2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DD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1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3B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D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A82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D424332">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A02AF37">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3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B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头孢曲松药敏实验纸片（扩散法）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1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4A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6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E67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A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E7D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239EF9A">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4D916C3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5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60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头孢西丁药敏实验纸片（扩散法）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F5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4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C7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B4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9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CF08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CFB24AA">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7CD9C346">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A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A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左氧氟沙星药敏实验纸片（扩散法）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3E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86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52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6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9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595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5C6A9CE">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7EA98F6">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3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37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氨曲南药敏实验纸片（扩散法）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CB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BF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24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F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5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5939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0C3FAEC">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00DF5767">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8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1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22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8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B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5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E0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3A87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42FF554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11CDD6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6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6B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环丙沙星药敏实验纸片（扩散法）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8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2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F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40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0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246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416EE5E1">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EC79A6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9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4A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米诺环素药敏实验纸片（扩散法）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EF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E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B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3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A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0C4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D900566">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3148AF4F">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7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6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39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60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5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E5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A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EE7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9BE1938">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3E3A93C">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6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43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美罗培南药敏实验纸片（扩散法）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C8F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F7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5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FE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D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1990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C12DFE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EF6FF3B">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C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4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苯唑西林药敏实验纸片（扩散法）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B2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8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4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3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1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1836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42846C00">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11D223F9">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0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0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诺氟沙星药敏实验纸片（扩散法）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2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23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3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B7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1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F175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DA272D6">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C444250">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0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6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阿米卡星药敏实验纸片（扩散法）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E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4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F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5CE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5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1E6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0B231CE7">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037B665A">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E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6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E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18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5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D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2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357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A5C3FC6">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9BDA48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09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7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头孢他啶/阿维巴坦药敏实验纸片（扩散法）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7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177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7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C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3EBA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74DFD41F">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75D68FC3">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4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B5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头孢他啶药敏实验纸片（扩散法）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D6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3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D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C1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2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24055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47D4CF0">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44FC64B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E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8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亚胺培南药敏实验纸片（扩散法）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A8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336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0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0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2A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14F2E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55F274D">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1FD54D1">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7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5F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阿莫西林/克拉维酸药敏实验纸片（扩散法）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5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8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A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DC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E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0CA6C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245A55EA">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27C7B02B">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2D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A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庆大霉素药敏实验纸片（扩散法）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91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F7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5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E0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1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58F3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3B11869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74D3DE8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6B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7D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妥布霉素药敏实验纸片（扩散法）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5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3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A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41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5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BC1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359" w:type="pct"/>
            <w:vMerge w:val="continue"/>
            <w:tcBorders>
              <w:top w:val="single" w:color="000000" w:sz="4" w:space="0"/>
              <w:left w:val="single" w:color="000000" w:sz="4" w:space="0"/>
              <w:bottom w:val="nil"/>
              <w:right w:val="single" w:color="000000" w:sz="4" w:space="0"/>
            </w:tcBorders>
            <w:shd w:val="clear" w:color="auto" w:fill="auto"/>
            <w:vAlign w:val="center"/>
          </w:tcPr>
          <w:p w14:paraId="1DE65A8E">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nil"/>
              <w:right w:val="single" w:color="000000" w:sz="4" w:space="0"/>
            </w:tcBorders>
            <w:shd w:val="clear" w:color="auto" w:fill="auto"/>
            <w:vAlign w:val="center"/>
          </w:tcPr>
          <w:p w14:paraId="6489DA9C">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6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80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替考拉宁药敏实验纸片（扩散法）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8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5×50片/ 盒</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CD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8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D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F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r>
      <w:tr w14:paraId="6D11F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28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80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HBV RNA、TB RNA检测试剂</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B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C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HBV RNA检测</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D4E53">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72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BF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1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3D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350000</w:t>
            </w:r>
          </w:p>
        </w:tc>
      </w:tr>
      <w:tr w14:paraId="616B4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DDFB3">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29630">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93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C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TB RNA检测</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3D8BA">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E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D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9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E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r>
      <w:tr w14:paraId="42BCC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113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8F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分枝杆菌检测试剂</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5F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3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分枝杆菌鉴定试剂盒（荧光PCR熔解曲线法）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0F52">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4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B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D9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C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w:t>
            </w:r>
          </w:p>
        </w:tc>
      </w:tr>
      <w:tr w14:paraId="1CE5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C829">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B78CC">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0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3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结核分枝杆菌复合群核酸检测试剂盒（实时荧光PCR法）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7E66F">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6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C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5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0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r>
      <w:tr w14:paraId="7506D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1186F">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CD78E">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A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39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结核分枝杆菌利福平耐药突变检测试剂盒（荧光PCR熔解曲线法）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8924">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B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27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61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5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w:t>
            </w:r>
          </w:p>
        </w:tc>
      </w:tr>
      <w:tr w14:paraId="5DC9B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65232">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AE571">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D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09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结核分枝杆菌异烟肼耐药突变检测试剂盒（荧光PCR熔解曲线法）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3650">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AB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83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7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4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w:t>
            </w:r>
          </w:p>
        </w:tc>
      </w:tr>
      <w:tr w14:paraId="3FCC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0F1B">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B74F2">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9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6DC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结核分枝杆菌乙胺丁醇耐药突变检测试剂盒（荧光PCR熔解曲线法）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1CE86">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0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F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44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F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w:t>
            </w:r>
          </w:p>
        </w:tc>
      </w:tr>
      <w:tr w14:paraId="52659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67EA4">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CC349">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D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4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结核分枝杆菌链霉素耐药突变检测试剂盒（荧光PCR熔解曲线法）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D827A">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E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6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F6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0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w:t>
            </w:r>
          </w:p>
        </w:tc>
      </w:tr>
      <w:tr w14:paraId="605B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810F1">
            <w:pPr>
              <w:jc w:val="center"/>
              <w:rPr>
                <w:rFonts w:hint="eastAsia" w:ascii="宋体" w:hAnsi="宋体" w:eastAsia="宋体" w:cs="宋体"/>
                <w:i w:val="0"/>
                <w:iCs w:val="0"/>
                <w:color w:val="000000"/>
                <w:sz w:val="18"/>
                <w:szCs w:val="18"/>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94C44">
            <w:pPr>
              <w:jc w:val="center"/>
              <w:rPr>
                <w:rFonts w:hint="eastAsia" w:ascii="宋体" w:hAnsi="宋体" w:eastAsia="宋体" w:cs="宋体"/>
                <w:i w:val="0"/>
                <w:iCs w:val="0"/>
                <w:color w:val="000000"/>
                <w:sz w:val="18"/>
                <w:szCs w:val="18"/>
                <w:u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5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AEA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结核分枝杆菌氟喹诺酮类药物耐药突变检测试剂盒（荧光PCR熔解曲线法）</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C9027">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7B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D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C7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B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5760</w:t>
            </w:r>
          </w:p>
        </w:tc>
      </w:tr>
      <w:tr w14:paraId="01064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1" w:hRule="atLeast"/>
        </w:trPr>
        <w:tc>
          <w:tcPr>
            <w:tcW w:w="3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B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8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慢生长分枝杆菌MIC药敏板</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B8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AC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慢生长分枝杆菌MIC药敏板</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1085">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6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4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D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40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6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EC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22260</w:t>
            </w: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w:t>
      </w:r>
      <w:r>
        <w:rPr>
          <w:rFonts w:hint="eastAsia" w:ascii="仿宋" w:hAnsi="仿宋" w:eastAsia="仿宋"/>
          <w:b/>
          <w:color w:val="auto"/>
          <w:sz w:val="24"/>
          <w:lang w:val="en-US" w:eastAsia="zh-CN"/>
        </w:rPr>
        <w:t>2</w:t>
      </w:r>
      <w:r>
        <w:rPr>
          <w:rFonts w:hint="eastAsia" w:ascii="仿宋" w:hAnsi="仿宋" w:eastAsia="仿宋"/>
          <w:b/>
          <w:color w:val="auto"/>
          <w:sz w:val="24"/>
          <w:lang w:eastAsia="zh-CN"/>
        </w:rPr>
        <w:t>年</w:t>
      </w:r>
    </w:p>
    <w:p w14:paraId="293A9694">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二、参数要求</w:t>
      </w:r>
    </w:p>
    <w:tbl>
      <w:tblPr>
        <w:tblStyle w:val="26"/>
        <w:tblW w:w="95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3"/>
        <w:gridCol w:w="1260"/>
        <w:gridCol w:w="7121"/>
      </w:tblGrid>
      <w:tr w14:paraId="37AD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C7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46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标段名称</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B6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r>
      <w:tr w14:paraId="64D2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8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生化仪电解质等7项</w:t>
            </w:r>
          </w:p>
        </w:tc>
        <w:tc>
          <w:tcPr>
            <w:tcW w:w="71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FC0E">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9C9C72F">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1.试剂配套贝克曼AU 680生化仪或者自行提供同等及以上设备。    </w:t>
            </w:r>
          </w:p>
        </w:tc>
      </w:tr>
      <w:tr w14:paraId="55DE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3F5DE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86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生化仪电解质等6项</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085AC4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r>
              <w:rPr>
                <w:rFonts w:hint="eastAsia" w:ascii="宋体" w:hAnsi="宋体" w:cs="宋体"/>
                <w:i w:val="0"/>
                <w:iCs w:val="0"/>
                <w:color w:val="000000"/>
                <w:sz w:val="20"/>
                <w:szCs w:val="20"/>
                <w:u w:val="none"/>
                <w:lang w:val="en-US" w:eastAsia="zh-CN"/>
              </w:rPr>
              <w:t xml:space="preserve">    </w:t>
            </w:r>
            <w:r>
              <w:rPr>
                <w:rFonts w:hint="eastAsia" w:ascii="宋体" w:hAnsi="宋体" w:eastAsia="宋体" w:cs="宋体"/>
                <w:i w:val="0"/>
                <w:iCs w:val="0"/>
                <w:color w:val="000000"/>
                <w:sz w:val="20"/>
                <w:szCs w:val="20"/>
                <w:u w:val="none"/>
              </w:rPr>
              <w:t xml:space="preserve"> </w:t>
            </w:r>
          </w:p>
          <w:p w14:paraId="6E12D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1.试剂配套日立7600生化仪或者自行提供同等及以上设备。  </w:t>
            </w:r>
          </w:p>
        </w:tc>
      </w:tr>
      <w:tr w14:paraId="7189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76191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162EA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尿常规</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062F8A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850B2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1.提供与试剂同一品牌的尿有形成份仪器和尿干化学仪器。                                                 2.定量必备项目：红细胞(RBC)、白细胞(WBC)、上皮细胞(EC)、管型(CAST)、细菌(BACT)。                                                 </w:t>
            </w:r>
          </w:p>
          <w:p w14:paraId="29A4A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3.每年</w:t>
            </w:r>
            <w:r>
              <w:rPr>
                <w:rFonts w:hint="eastAsia" w:ascii="宋体" w:hAnsi="宋体" w:cs="宋体"/>
                <w:i w:val="0"/>
                <w:iCs w:val="0"/>
                <w:color w:val="000000"/>
                <w:sz w:val="20"/>
                <w:szCs w:val="20"/>
                <w:u w:val="none"/>
                <w:lang w:val="en-US" w:eastAsia="zh-CN"/>
              </w:rPr>
              <w:t>按采购人要求</w:t>
            </w:r>
            <w:r>
              <w:rPr>
                <w:rFonts w:hint="eastAsia" w:ascii="宋体" w:hAnsi="宋体" w:eastAsia="宋体" w:cs="宋体"/>
                <w:i w:val="0"/>
                <w:iCs w:val="0"/>
                <w:color w:val="000000"/>
                <w:sz w:val="20"/>
                <w:szCs w:val="20"/>
                <w:u w:val="none"/>
              </w:rPr>
              <w:t>提供</w:t>
            </w:r>
            <w:r>
              <w:rPr>
                <w:rFonts w:hint="eastAsia" w:ascii="宋体" w:hAnsi="宋体" w:cs="宋体"/>
                <w:i w:val="0"/>
                <w:iCs w:val="0"/>
                <w:color w:val="000000"/>
                <w:sz w:val="20"/>
                <w:szCs w:val="20"/>
                <w:u w:val="none"/>
                <w:lang w:val="en-US" w:eastAsia="zh-CN"/>
              </w:rPr>
              <w:t>至少</w:t>
            </w:r>
            <w:r>
              <w:rPr>
                <w:rFonts w:hint="eastAsia" w:ascii="宋体" w:hAnsi="宋体" w:eastAsia="宋体" w:cs="宋体"/>
                <w:i w:val="0"/>
                <w:iCs w:val="0"/>
                <w:color w:val="000000"/>
                <w:sz w:val="20"/>
                <w:szCs w:val="20"/>
                <w:u w:val="none"/>
              </w:rPr>
              <w:t xml:space="preserve">2次仪器校准并提供校准报告，完成试剂方法学性能验证及比对工作。                                      </w:t>
            </w:r>
          </w:p>
          <w:p w14:paraId="367AE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4.提供项目所需的配套质控品、校准品及其他相关耗材。                                                                                                                                      5.国家卫健委和省临检中心室间质评可独立分组，并提供最近一次证明文件。                                                  </w:t>
            </w:r>
          </w:p>
          <w:p w14:paraId="40956B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40D8C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▲1.尿有形成份仪器采用核酸荧光染色技术，对尿液有形成分如管型、上皮细胞、细菌等进行鉴别。                                </w:t>
            </w:r>
          </w:p>
          <w:p w14:paraId="0132FF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2.尿有形成份仪器可提供红细胞形态信息、红细胞的散点图和直方图，对尿红细胞可按体积大小、均一性、非均一性等相关形态进行分类。                                                 ▲3.尿有形成份仪器能对尿细菌进行定量计数，以及细菌类形进行革兰氏分。                                                      </w:t>
            </w:r>
            <w:r>
              <w:rPr>
                <w:rFonts w:hint="eastAsia" w:ascii="宋体" w:hAnsi="宋体" w:cs="宋体"/>
                <w:i w:val="0"/>
                <w:iCs w:val="0"/>
                <w:color w:val="000000"/>
                <w:sz w:val="20"/>
                <w:szCs w:val="20"/>
                <w:u w:val="none"/>
                <w:lang w:val="en-US" w:eastAsia="zh-CN"/>
              </w:rPr>
              <w:t xml:space="preserve">         </w:t>
            </w:r>
            <w:r>
              <w:rPr>
                <w:rFonts w:hint="eastAsia" w:ascii="宋体" w:hAnsi="宋体" w:eastAsia="宋体" w:cs="宋体"/>
                <w:i w:val="0"/>
                <w:iCs w:val="0"/>
                <w:color w:val="000000"/>
                <w:sz w:val="20"/>
                <w:szCs w:val="20"/>
                <w:u w:val="none"/>
              </w:rPr>
              <w:t xml:space="preserve">4.尿干化学仪器：可同时装载两种不同规格的试纸条，可根据患者条码信息自动识别并选择相应的试纸条进行检测。                </w:t>
            </w:r>
          </w:p>
          <w:p w14:paraId="3D6C2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5.单台设备检测速度≥250标本/小时。试纸条容量≥300条，有防止试纸条氧化的装置。                                                 </w:t>
            </w:r>
          </w:p>
          <w:p w14:paraId="6D406B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6.尿有形成份仪器检测通道≥2个，可区分有核物质和无核物质。                                                          7.干化学试纸条特性：试纸条具备抗VC干扰功能，帮助去除或鉴别假阴性，无需VC试剂模块。                                     </w:t>
            </w:r>
          </w:p>
          <w:p w14:paraId="1534C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8.具备通过ISO17043认证的实时在线质控管理平台。</w:t>
            </w:r>
          </w:p>
        </w:tc>
      </w:tr>
      <w:tr w14:paraId="2BA0D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3" w:hRule="atLeast"/>
        </w:trPr>
        <w:tc>
          <w:tcPr>
            <w:tcW w:w="1143" w:type="dxa"/>
            <w:tcBorders>
              <w:top w:val="single" w:color="auto" w:sz="4" w:space="0"/>
              <w:left w:val="single" w:color="000000" w:sz="4" w:space="0"/>
              <w:bottom w:val="nil"/>
              <w:right w:val="single" w:color="000000" w:sz="4" w:space="0"/>
            </w:tcBorders>
            <w:shd w:val="clear" w:color="auto" w:fill="auto"/>
            <w:vAlign w:val="center"/>
          </w:tcPr>
          <w:p w14:paraId="7B3E3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8E33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血栓四项</w:t>
            </w:r>
          </w:p>
        </w:tc>
        <w:tc>
          <w:tcPr>
            <w:tcW w:w="7121" w:type="dxa"/>
            <w:tcBorders>
              <w:top w:val="single" w:color="auto" w:sz="4" w:space="0"/>
              <w:left w:val="single" w:color="000000" w:sz="4" w:space="0"/>
              <w:bottom w:val="nil"/>
              <w:right w:val="single" w:color="000000" w:sz="4" w:space="0"/>
            </w:tcBorders>
            <w:shd w:val="clear" w:color="auto" w:fill="auto"/>
            <w:vAlign w:val="center"/>
          </w:tcPr>
          <w:p w14:paraId="0EAD11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87FA6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1.提供配套仪器1套。                                 </w:t>
            </w:r>
          </w:p>
          <w:p w14:paraId="13E431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2.单机完成所有检测，可检测血清、血浆.                       </w:t>
            </w:r>
          </w:p>
          <w:p w14:paraId="35FA46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3.按需提供所有质控品、校准品及所有相关耗材。                                   </w:t>
            </w:r>
          </w:p>
          <w:p w14:paraId="0F2C55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4.每年</w:t>
            </w:r>
            <w:r>
              <w:rPr>
                <w:rFonts w:hint="eastAsia" w:ascii="宋体" w:hAnsi="宋体" w:cs="宋体"/>
                <w:i w:val="0"/>
                <w:iCs w:val="0"/>
                <w:color w:val="000000"/>
                <w:sz w:val="20"/>
                <w:szCs w:val="20"/>
                <w:u w:val="none"/>
                <w:lang w:val="en-US" w:eastAsia="zh-CN"/>
              </w:rPr>
              <w:t>按采购人要求</w:t>
            </w:r>
            <w:r>
              <w:rPr>
                <w:rFonts w:hint="eastAsia" w:ascii="宋体" w:hAnsi="宋体" w:eastAsia="宋体" w:cs="宋体"/>
                <w:i w:val="0"/>
                <w:iCs w:val="0"/>
                <w:color w:val="000000"/>
                <w:sz w:val="20"/>
                <w:szCs w:val="20"/>
                <w:u w:val="none"/>
              </w:rPr>
              <w:t>提供</w:t>
            </w:r>
            <w:r>
              <w:rPr>
                <w:rFonts w:hint="eastAsia" w:ascii="宋体" w:hAnsi="宋体" w:cs="宋体"/>
                <w:i w:val="0"/>
                <w:iCs w:val="0"/>
                <w:color w:val="000000"/>
                <w:sz w:val="20"/>
                <w:szCs w:val="20"/>
                <w:u w:val="none"/>
                <w:lang w:val="en-US" w:eastAsia="zh-CN"/>
              </w:rPr>
              <w:t>至少1</w:t>
            </w:r>
            <w:r>
              <w:rPr>
                <w:rFonts w:hint="eastAsia" w:ascii="宋体" w:hAnsi="宋体" w:eastAsia="宋体" w:cs="宋体"/>
                <w:i w:val="0"/>
                <w:iCs w:val="0"/>
                <w:color w:val="000000"/>
                <w:sz w:val="20"/>
                <w:szCs w:val="20"/>
                <w:u w:val="none"/>
              </w:rPr>
              <w:t xml:space="preserve">次仪器校准并提供校准报告。                                     </w:t>
            </w:r>
          </w:p>
          <w:p w14:paraId="6E9218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5.需支持完成方法学性能验证或项目的比对工作。                </w:t>
            </w:r>
          </w:p>
          <w:p w14:paraId="4F94D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0F754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1.试剂及配套定标液、质控品均须具有注册证。</w:t>
            </w:r>
          </w:p>
          <w:p w14:paraId="44D19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2.项目</w:t>
            </w:r>
            <w:r>
              <w:rPr>
                <w:rFonts w:hint="eastAsia" w:ascii="宋体" w:hAnsi="宋体" w:cs="宋体"/>
                <w:i w:val="0"/>
                <w:iCs w:val="0"/>
                <w:color w:val="000000"/>
                <w:sz w:val="20"/>
                <w:szCs w:val="20"/>
                <w:u w:val="none"/>
                <w:lang w:val="en-US" w:eastAsia="zh-CN"/>
              </w:rPr>
              <w:t>可</w:t>
            </w:r>
            <w:r>
              <w:rPr>
                <w:rFonts w:hint="eastAsia" w:ascii="宋体" w:hAnsi="宋体" w:eastAsia="宋体" w:cs="宋体"/>
                <w:i w:val="0"/>
                <w:iCs w:val="0"/>
                <w:color w:val="000000"/>
                <w:sz w:val="20"/>
                <w:szCs w:val="20"/>
                <w:u w:val="none"/>
              </w:rPr>
              <w:t>溯源,并提供证明文件。</w:t>
            </w:r>
          </w:p>
          <w:p w14:paraId="713A1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3.凝血酶—抗凝血酶Ⅲ复合物（TAT）测定试剂盒最低检出限：≤0.4ng/mL、纤溶酶-α2 纤溶酶抑制剂复合物(PIC)测定试剂盒最低检出限：≤0.05μg/mL。                                                                                                                                    4.血栓调节蛋白（TM）测定试剂盒最低检出限：≤0.50 TU /mL。                                                      5.组织纤溶酶原激活物-纤溶酶原激活物抑制剂-1 复合物（tPAI.C）测定试剂盒最低检出限：≤0.50 ng/mL。</w:t>
            </w:r>
          </w:p>
          <w:p w14:paraId="5C6DB2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6.试剂有电子标签，自动识别检测项目与试剂批号，自动计数；</w:t>
            </w:r>
          </w:p>
          <w:p w14:paraId="446033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7.单台检测速度：≥50Test/H</w:t>
            </w:r>
            <w:r>
              <w:rPr>
                <w:rFonts w:hint="eastAsia" w:ascii="宋体" w:hAnsi="宋体" w:cs="宋体"/>
                <w:i w:val="0"/>
                <w:iCs w:val="0"/>
                <w:color w:val="000000"/>
                <w:sz w:val="20"/>
                <w:szCs w:val="20"/>
                <w:u w:val="none"/>
                <w:lang w:val="en-US" w:eastAsia="zh-CN"/>
              </w:rPr>
              <w:t>our</w:t>
            </w:r>
            <w:r>
              <w:rPr>
                <w:rFonts w:hint="eastAsia" w:ascii="宋体" w:hAnsi="宋体" w:eastAsia="宋体" w:cs="宋体"/>
                <w:i w:val="0"/>
                <w:iCs w:val="0"/>
                <w:color w:val="000000"/>
                <w:sz w:val="20"/>
                <w:szCs w:val="20"/>
                <w:u w:val="none"/>
              </w:rPr>
              <w:t>；</w:t>
            </w:r>
          </w:p>
          <w:p w14:paraId="5181D8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8.一次性可上机样本≥20个，任意急诊位，可随意添加；同时在线试剂≥8个。                                              </w:t>
            </w:r>
          </w:p>
          <w:p w14:paraId="050A4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9.试剂 2~8℃保存，有效期 ≥18 个月。试剂开封后，在 2~8℃有效期 ≥28 天。  </w:t>
            </w:r>
          </w:p>
        </w:tc>
      </w:tr>
      <w:tr w14:paraId="5F6B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143" w:type="dxa"/>
            <w:tcBorders>
              <w:top w:val="single" w:color="000000" w:sz="4" w:space="0"/>
              <w:left w:val="single" w:color="000000" w:sz="4" w:space="0"/>
              <w:bottom w:val="single" w:color="auto" w:sz="4" w:space="0"/>
              <w:right w:val="single" w:color="000000" w:sz="4" w:space="0"/>
            </w:tcBorders>
            <w:shd w:val="clear" w:color="auto" w:fill="auto"/>
            <w:vAlign w:val="center"/>
          </w:tcPr>
          <w:p w14:paraId="7AD3A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60" w:type="dxa"/>
            <w:tcBorders>
              <w:top w:val="single" w:color="000000" w:sz="4" w:space="0"/>
              <w:left w:val="single" w:color="000000" w:sz="4" w:space="0"/>
              <w:bottom w:val="single" w:color="auto" w:sz="4" w:space="0"/>
              <w:right w:val="single" w:color="000000" w:sz="4" w:space="0"/>
            </w:tcBorders>
            <w:shd w:val="clear" w:color="auto" w:fill="auto"/>
            <w:vAlign w:val="center"/>
          </w:tcPr>
          <w:p w14:paraId="26883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凝血2项</w:t>
            </w:r>
          </w:p>
        </w:tc>
        <w:tc>
          <w:tcPr>
            <w:tcW w:w="7121" w:type="dxa"/>
            <w:tcBorders>
              <w:top w:val="single" w:color="000000" w:sz="4" w:space="0"/>
              <w:left w:val="single" w:color="000000" w:sz="4" w:space="0"/>
              <w:bottom w:val="single" w:color="auto" w:sz="4" w:space="0"/>
              <w:right w:val="single" w:color="000000" w:sz="4" w:space="0"/>
            </w:tcBorders>
            <w:shd w:val="clear" w:color="auto" w:fill="auto"/>
            <w:vAlign w:val="center"/>
          </w:tcPr>
          <w:p w14:paraId="5659AA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72F028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1.试剂适用于本院现有设备血凝SYMEX 5100使用（需提供适用机型证明材料，如试剂说明书）。                                     </w:t>
            </w:r>
          </w:p>
          <w:p w14:paraId="15FF8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2.项目质控需为国家卫健委独立分组，并提供证明材料。          </w:t>
            </w:r>
          </w:p>
          <w:p w14:paraId="23EC4A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3.按需提供所有质控品、校准品及所有相关耗材。                                                                       4.需支持完成方法学性能验证或项目的比对工作。                </w:t>
            </w:r>
          </w:p>
          <w:p w14:paraId="07DAA2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技术参数：                                                 </w:t>
            </w:r>
          </w:p>
          <w:p w14:paraId="21F1D2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1.FDP检测方法: 胶乳增强免疫比浊法。                      </w:t>
            </w:r>
          </w:p>
          <w:p w14:paraId="53DD30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2.ATIII检测方法：发色底物法。                                         3.FDP 批内精密度 CV≤6.0% ，线性范围 2.5-80ug/ml。 </w:t>
            </w:r>
          </w:p>
          <w:p w14:paraId="55ED8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4.ATIII 批内精密度 CV≤8.0% 线性范围 10%-150% 。   </w:t>
            </w:r>
          </w:p>
        </w:tc>
      </w:tr>
      <w:tr w14:paraId="783E8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12395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657F2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常规药敏纸片试剂</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650B65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w:t>
            </w:r>
          </w:p>
          <w:p w14:paraId="293814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1.不得缺项，适用于纸片扩散法药敏试验使用。                                                                                   2.小包装规格：5*50片/盒。                                                                                               3.纸片质量需通过标准菌株质量控制测试。（提供证明文件）</w:t>
            </w:r>
          </w:p>
        </w:tc>
      </w:tr>
      <w:tr w14:paraId="1C8F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1143" w:type="dxa"/>
            <w:tcBorders>
              <w:top w:val="single" w:color="auto" w:sz="4" w:space="0"/>
              <w:left w:val="single" w:color="auto" w:sz="4" w:space="0"/>
              <w:bottom w:val="single" w:color="auto" w:sz="4" w:space="0"/>
              <w:right w:val="single" w:color="000000" w:sz="4" w:space="0"/>
            </w:tcBorders>
            <w:shd w:val="clear" w:color="auto" w:fill="auto"/>
            <w:vAlign w:val="center"/>
          </w:tcPr>
          <w:p w14:paraId="2A691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60" w:type="dxa"/>
            <w:tcBorders>
              <w:top w:val="single" w:color="auto" w:sz="4" w:space="0"/>
              <w:left w:val="single" w:color="000000" w:sz="4" w:space="0"/>
              <w:bottom w:val="single" w:color="auto" w:sz="4" w:space="0"/>
              <w:right w:val="single" w:color="000000" w:sz="4" w:space="0"/>
            </w:tcBorders>
            <w:shd w:val="clear" w:color="auto" w:fill="auto"/>
            <w:vAlign w:val="center"/>
          </w:tcPr>
          <w:p w14:paraId="20E21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HBV RNA、TB RNA检测试剂</w:t>
            </w:r>
          </w:p>
        </w:tc>
        <w:tc>
          <w:tcPr>
            <w:tcW w:w="7121" w:type="dxa"/>
            <w:tcBorders>
              <w:top w:val="single" w:color="auto" w:sz="4" w:space="0"/>
              <w:left w:val="single" w:color="000000" w:sz="4" w:space="0"/>
              <w:bottom w:val="single" w:color="auto" w:sz="4" w:space="0"/>
              <w:right w:val="single" w:color="auto" w:sz="4" w:space="0"/>
            </w:tcBorders>
            <w:shd w:val="clear" w:color="auto" w:fill="auto"/>
            <w:vAlign w:val="center"/>
          </w:tcPr>
          <w:p w14:paraId="09695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33D98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1.配套全自动检测仪1台。                                   </w:t>
            </w:r>
          </w:p>
          <w:p w14:paraId="67F68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2.单机可完成。                                      </w:t>
            </w:r>
          </w:p>
          <w:p w14:paraId="2979FF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3.按需提供所有质控品、校准品及所有相关耗材。                                    4.每年按采购人要求提供</w:t>
            </w:r>
            <w:r>
              <w:rPr>
                <w:rFonts w:hint="eastAsia" w:ascii="宋体" w:hAnsi="宋体" w:cs="宋体"/>
                <w:i w:val="0"/>
                <w:iCs w:val="0"/>
                <w:color w:val="000000"/>
                <w:sz w:val="20"/>
                <w:szCs w:val="20"/>
                <w:u w:val="none"/>
                <w:lang w:val="en-US" w:eastAsia="zh-CN"/>
              </w:rPr>
              <w:t>至少1</w:t>
            </w:r>
            <w:r>
              <w:rPr>
                <w:rFonts w:hint="eastAsia" w:ascii="宋体" w:hAnsi="宋体" w:eastAsia="宋体" w:cs="宋体"/>
                <w:i w:val="0"/>
                <w:iCs w:val="0"/>
                <w:color w:val="000000"/>
                <w:sz w:val="20"/>
                <w:szCs w:val="20"/>
                <w:u w:val="none"/>
              </w:rPr>
              <w:t xml:space="preserve">次仪器校准并提供校准报告；                                     5.需支持完成方法学性能验证或项目的比对工作。                                                          技术参数：                                               </w:t>
            </w:r>
          </w:p>
          <w:p w14:paraId="379A64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1.试剂检测灵敏度:灵敏度≤100copies/ml。                      </w:t>
            </w:r>
          </w:p>
          <w:p w14:paraId="0DE1A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2.试剂有效期≥12个月。                                  </w:t>
            </w:r>
          </w:p>
          <w:p w14:paraId="5DE425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3.HBV RNA线性范围:10²≤线性下限。                                                      4.TAT时间:首批检测结果≤120min。                      </w:t>
            </w:r>
          </w:p>
          <w:p w14:paraId="00BD7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5.每次实验质控品及定量标准消耗试剂≤6个。                                   6.不需要DNA酶处理,采用内标法。  </w:t>
            </w:r>
          </w:p>
        </w:tc>
      </w:tr>
      <w:tr w14:paraId="1F8E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1143" w:type="dxa"/>
            <w:tcBorders>
              <w:top w:val="single" w:color="auto" w:sz="4" w:space="0"/>
              <w:left w:val="single" w:color="000000" w:sz="4" w:space="0"/>
              <w:bottom w:val="nil"/>
              <w:right w:val="single" w:color="000000" w:sz="4" w:space="0"/>
            </w:tcBorders>
            <w:shd w:val="clear" w:color="auto" w:fill="auto"/>
            <w:vAlign w:val="center"/>
          </w:tcPr>
          <w:p w14:paraId="4F273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60" w:type="dxa"/>
            <w:tcBorders>
              <w:top w:val="single" w:color="auto" w:sz="4" w:space="0"/>
              <w:left w:val="single" w:color="000000" w:sz="4" w:space="0"/>
              <w:bottom w:val="nil"/>
              <w:right w:val="single" w:color="000000" w:sz="4" w:space="0"/>
            </w:tcBorders>
            <w:shd w:val="clear" w:color="auto" w:fill="auto"/>
            <w:vAlign w:val="center"/>
          </w:tcPr>
          <w:p w14:paraId="0BC0A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分枝杆菌检测试剂</w:t>
            </w:r>
          </w:p>
        </w:tc>
        <w:tc>
          <w:tcPr>
            <w:tcW w:w="7121" w:type="dxa"/>
            <w:tcBorders>
              <w:top w:val="single" w:color="auto" w:sz="4" w:space="0"/>
              <w:left w:val="single" w:color="000000" w:sz="4" w:space="0"/>
              <w:bottom w:val="single" w:color="000000" w:sz="4" w:space="0"/>
              <w:right w:val="single" w:color="000000" w:sz="4" w:space="0"/>
            </w:tcBorders>
            <w:shd w:val="clear" w:color="auto" w:fill="auto"/>
            <w:vAlign w:val="center"/>
          </w:tcPr>
          <w:p w14:paraId="2EADD3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基本要求：                                                 </w:t>
            </w:r>
          </w:p>
          <w:p w14:paraId="04311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1.配套于本院致善MeltPro® Myco分枝杆菌鉴定平台</w:t>
            </w:r>
            <w:r>
              <w:rPr>
                <w:rFonts w:hint="eastAsia" w:ascii="宋体" w:hAnsi="宋体" w:cs="宋体"/>
                <w:i w:val="0"/>
                <w:iCs w:val="0"/>
                <w:color w:val="000000"/>
                <w:sz w:val="20"/>
                <w:szCs w:val="20"/>
                <w:u w:val="none"/>
                <w:lang w:val="en-US" w:eastAsia="zh-CN"/>
              </w:rPr>
              <w:t>或提供同等及以上设备</w:t>
            </w:r>
            <w:r>
              <w:rPr>
                <w:rFonts w:hint="eastAsia" w:ascii="宋体" w:hAnsi="宋体" w:eastAsia="宋体" w:cs="宋体"/>
                <w:i w:val="0"/>
                <w:iCs w:val="0"/>
                <w:color w:val="000000"/>
                <w:sz w:val="20"/>
                <w:szCs w:val="20"/>
                <w:u w:val="none"/>
              </w:rPr>
              <w:t>。                                                                                                                                                           2.每年按采购人要求提供</w:t>
            </w:r>
            <w:r>
              <w:rPr>
                <w:rFonts w:hint="eastAsia" w:ascii="宋体" w:hAnsi="宋体" w:cs="宋体"/>
                <w:i w:val="0"/>
                <w:iCs w:val="0"/>
                <w:color w:val="000000"/>
                <w:sz w:val="20"/>
                <w:szCs w:val="20"/>
                <w:u w:val="none"/>
                <w:lang w:val="en-US" w:eastAsia="zh-CN"/>
              </w:rPr>
              <w:t>至少1</w:t>
            </w:r>
            <w:r>
              <w:rPr>
                <w:rFonts w:hint="eastAsia" w:ascii="宋体" w:hAnsi="宋体" w:eastAsia="宋体" w:cs="宋体"/>
                <w:i w:val="0"/>
                <w:iCs w:val="0"/>
                <w:color w:val="000000"/>
                <w:sz w:val="20"/>
                <w:szCs w:val="20"/>
                <w:u w:val="none"/>
              </w:rPr>
              <w:t xml:space="preserve">次仪器校准并提供校准报告。                </w:t>
            </w:r>
          </w:p>
          <w:p w14:paraId="353942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 xml:space="preserve">3.提供其它配套相关耗材。                                         </w:t>
            </w:r>
          </w:p>
          <w:p w14:paraId="408B71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4.提供项目配套使用设备的维保和设备质控。</w:t>
            </w:r>
          </w:p>
        </w:tc>
      </w:tr>
      <w:tr w14:paraId="134E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1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03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BB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慢生长分枝杆菌MIC药敏板</w:t>
            </w:r>
          </w:p>
        </w:tc>
        <w:tc>
          <w:tcPr>
            <w:tcW w:w="71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692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基本要求：1.检测对象：非结核分枝杆菌，如：胞内分枝杆菌。                                            技术参数：1.抗生素种类：阿米卡星 亚胺培南 阿莫西林/克拉维酸 利奈唑胺 头孢西丁 莫西沙星 米诺环素 替加环素 多西环素 美罗培南 环丙沙星 妥布霉素 克拉霉素 甲氧苄啶/磺胺甲恶唑 利福平 利福布丁等</w:t>
            </w:r>
          </w:p>
          <w:p w14:paraId="480971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2.试剂盒内有药敏板和封膜，药敏板有96孔微孔组成，适当稀释浓度的抗生素。</w:t>
            </w:r>
          </w:p>
          <w:p w14:paraId="03A9A4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3.可通过 Vizion系统观察生长情况来读取结果。也可以通过肉眼手工读取菌落生长结果。</w:t>
            </w:r>
          </w:p>
          <w:p w14:paraId="204EF6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4.每种药物7-8个浓度。</w:t>
            </w:r>
          </w:p>
          <w:p w14:paraId="11E846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5.7天能够出药敏结果。</w:t>
            </w:r>
          </w:p>
        </w:tc>
      </w:tr>
      <w:tr w14:paraId="5CD21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0F3BE">
            <w:pPr>
              <w:jc w:val="center"/>
              <w:rPr>
                <w:rFonts w:hint="eastAsia" w:ascii="宋体" w:hAnsi="宋体" w:eastAsia="宋体" w:cs="宋体"/>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345C1">
            <w:pPr>
              <w:jc w:val="center"/>
              <w:rPr>
                <w:rFonts w:hint="eastAsia" w:ascii="宋体" w:hAnsi="宋体" w:eastAsia="宋体" w:cs="宋体"/>
                <w:i w:val="0"/>
                <w:iCs w:val="0"/>
                <w:color w:val="000000"/>
                <w:sz w:val="18"/>
                <w:szCs w:val="18"/>
                <w:u w:val="none"/>
              </w:rPr>
            </w:pPr>
          </w:p>
        </w:tc>
        <w:tc>
          <w:tcPr>
            <w:tcW w:w="71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2BDE4">
            <w:pPr>
              <w:jc w:val="left"/>
              <w:rPr>
                <w:rFonts w:hint="eastAsia" w:ascii="宋体" w:hAnsi="宋体" w:eastAsia="宋体" w:cs="宋体"/>
                <w:i w:val="0"/>
                <w:iCs w:val="0"/>
                <w:color w:val="000000"/>
                <w:sz w:val="20"/>
                <w:szCs w:val="20"/>
                <w:u w:val="none"/>
              </w:rPr>
            </w:pPr>
          </w:p>
        </w:tc>
      </w:tr>
      <w:tr w14:paraId="57804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B8F92">
            <w:pPr>
              <w:jc w:val="center"/>
              <w:rPr>
                <w:rFonts w:hint="eastAsia" w:ascii="宋体" w:hAnsi="宋体" w:eastAsia="宋体" w:cs="宋体"/>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1E097">
            <w:pPr>
              <w:jc w:val="center"/>
              <w:rPr>
                <w:rFonts w:hint="eastAsia" w:ascii="宋体" w:hAnsi="宋体" w:eastAsia="宋体" w:cs="宋体"/>
                <w:i w:val="0"/>
                <w:iCs w:val="0"/>
                <w:color w:val="000000"/>
                <w:sz w:val="18"/>
                <w:szCs w:val="18"/>
                <w:u w:val="none"/>
              </w:rPr>
            </w:pPr>
          </w:p>
        </w:tc>
        <w:tc>
          <w:tcPr>
            <w:tcW w:w="71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5B05A">
            <w:pPr>
              <w:jc w:val="left"/>
              <w:rPr>
                <w:rFonts w:hint="eastAsia" w:ascii="宋体" w:hAnsi="宋体" w:eastAsia="宋体" w:cs="宋体"/>
                <w:i w:val="0"/>
                <w:iCs w:val="0"/>
                <w:color w:val="000000"/>
                <w:sz w:val="20"/>
                <w:szCs w:val="20"/>
                <w:u w:val="none"/>
              </w:rPr>
            </w:pPr>
          </w:p>
        </w:tc>
      </w:tr>
      <w:tr w14:paraId="3614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43058">
            <w:pPr>
              <w:jc w:val="center"/>
              <w:rPr>
                <w:rFonts w:hint="eastAsia" w:ascii="宋体" w:hAnsi="宋体" w:eastAsia="宋体" w:cs="宋体"/>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BE33A">
            <w:pPr>
              <w:jc w:val="center"/>
              <w:rPr>
                <w:rFonts w:hint="eastAsia" w:ascii="宋体" w:hAnsi="宋体" w:eastAsia="宋体" w:cs="宋体"/>
                <w:i w:val="0"/>
                <w:iCs w:val="0"/>
                <w:color w:val="000000"/>
                <w:sz w:val="18"/>
                <w:szCs w:val="18"/>
                <w:u w:val="none"/>
              </w:rPr>
            </w:pPr>
          </w:p>
        </w:tc>
        <w:tc>
          <w:tcPr>
            <w:tcW w:w="7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A936">
            <w:pPr>
              <w:jc w:val="left"/>
              <w:rPr>
                <w:rFonts w:hint="eastAsia" w:ascii="宋体" w:hAnsi="宋体" w:eastAsia="宋体" w:cs="宋体"/>
                <w:i w:val="0"/>
                <w:iCs w:val="0"/>
                <w:color w:val="000000"/>
                <w:sz w:val="20"/>
                <w:szCs w:val="20"/>
                <w:u w:val="none"/>
              </w:rPr>
            </w:pPr>
          </w:p>
        </w:tc>
      </w:tr>
      <w:tr w14:paraId="65D6F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1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5EC3">
            <w:pPr>
              <w:jc w:val="center"/>
              <w:rPr>
                <w:rFonts w:hint="eastAsia" w:ascii="宋体" w:hAnsi="宋体" w:eastAsia="宋体" w:cs="宋体"/>
                <w:i w:val="0"/>
                <w:iCs w:val="0"/>
                <w:color w:val="000000"/>
                <w:sz w:val="18"/>
                <w:szCs w:val="18"/>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3D00F">
            <w:pPr>
              <w:jc w:val="center"/>
              <w:rPr>
                <w:rFonts w:hint="eastAsia" w:ascii="宋体" w:hAnsi="宋体" w:eastAsia="宋体" w:cs="宋体"/>
                <w:i w:val="0"/>
                <w:iCs w:val="0"/>
                <w:color w:val="000000"/>
                <w:sz w:val="18"/>
                <w:szCs w:val="18"/>
                <w:u w:val="none"/>
              </w:rPr>
            </w:pPr>
          </w:p>
        </w:tc>
        <w:tc>
          <w:tcPr>
            <w:tcW w:w="712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9915">
            <w:pPr>
              <w:jc w:val="left"/>
              <w:rPr>
                <w:rFonts w:hint="eastAsia" w:ascii="宋体" w:hAnsi="宋体" w:eastAsia="宋体" w:cs="宋体"/>
                <w:i w:val="0"/>
                <w:iCs w:val="0"/>
                <w:color w:val="000000"/>
                <w:sz w:val="20"/>
                <w:szCs w:val="20"/>
                <w:u w:val="none"/>
              </w:rPr>
            </w:pP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lang w:eastAsia="zh-CN"/>
        </w:rPr>
        <w:t>三</w:t>
      </w:r>
      <w:r>
        <w:rPr>
          <w:rFonts w:hint="eastAsia" w:ascii="仿宋" w:hAnsi="仿宋" w:eastAsia="仿宋"/>
          <w:b/>
          <w:color w:val="auto"/>
          <w:sz w:val="24"/>
        </w:rPr>
        <w:t>、其他要求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1AE8EBA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1A15D7F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bookmarkStart w:id="15" w:name="_Toc104885747"/>
    </w:p>
    <w:p w14:paraId="607A5203">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w:t>
      </w:r>
      <w:r>
        <w:rPr>
          <w:rFonts w:hint="eastAsia" w:ascii="仿宋" w:hAnsi="仿宋" w:eastAsia="仿宋" w:cs="仿宋"/>
          <w:color w:val="auto"/>
          <w:sz w:val="24"/>
          <w:lang w:val="en-US" w:eastAsia="zh-CN"/>
        </w:rPr>
        <w:t>2</w:t>
      </w:r>
      <w:r>
        <w:rPr>
          <w:rFonts w:hint="eastAsia" w:ascii="仿宋" w:hAnsi="仿宋" w:eastAsia="仿宋" w:cs="仿宋"/>
          <w:color w:val="auto"/>
          <w:sz w:val="24"/>
        </w:rPr>
        <w:t>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绍兴大学附属医院2026年第二批试剂采购项目</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861EE3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674408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035515B1">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2560E5A5">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1E6D795B">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绍兴大学附属医院2026年第二批试剂采购项目</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绍兴大学附属医院2026年第二批试剂采购项目</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绍兴大学附属医院2026年第二批试剂采购项目</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w:t>
      </w:r>
      <w:r>
        <w:rPr>
          <w:rFonts w:hint="eastAsia" w:ascii="仿宋" w:hAnsi="仿宋" w:eastAsia="仿宋" w:cs="仿宋"/>
          <w:color w:val="auto"/>
          <w:sz w:val="24"/>
          <w:lang w:val="en-US" w:eastAsia="zh-CN"/>
        </w:rPr>
        <w:t>2年</w:t>
      </w:r>
      <w:r>
        <w:rPr>
          <w:rFonts w:hint="eastAsia" w:ascii="仿宋" w:hAnsi="仿宋" w:eastAsia="仿宋" w:cs="仿宋"/>
          <w:color w:val="auto"/>
          <w:sz w:val="24"/>
        </w:rPr>
        <w:t>，采购周期结束前一个月甲方有权决定采购周期是否延长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绍兴大学附属医院2026年第二批试剂采购项目</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7D9DBC40">
      <w:pPr>
        <w:kinsoku/>
        <w:overflowPunct/>
        <w:topLinePunct w:val="0"/>
        <w:bidi w:val="0"/>
        <w:spacing w:line="288" w:lineRule="auto"/>
        <w:jc w:val="center"/>
        <w:rPr>
          <w:rFonts w:hint="eastAsia" w:ascii="仿宋" w:hAnsi="仿宋" w:eastAsia="仿宋" w:cs="仿宋"/>
          <w:b/>
          <w:bCs/>
          <w:color w:val="auto"/>
          <w:sz w:val="44"/>
          <w:szCs w:val="40"/>
        </w:rPr>
      </w:pPr>
    </w:p>
    <w:p w14:paraId="61CC7F22">
      <w:pPr>
        <w:kinsoku/>
        <w:overflowPunct/>
        <w:topLinePunct w:val="0"/>
        <w:bidi w:val="0"/>
        <w:spacing w:line="288" w:lineRule="auto"/>
        <w:jc w:val="center"/>
        <w:rPr>
          <w:rFonts w:hint="eastAsia" w:ascii="仿宋" w:hAnsi="仿宋" w:eastAsia="仿宋" w:cs="仿宋"/>
          <w:b/>
          <w:bCs/>
          <w:color w:val="auto"/>
          <w:sz w:val="44"/>
          <w:szCs w:val="40"/>
        </w:rPr>
      </w:pPr>
    </w:p>
    <w:p w14:paraId="6B5D8CC7">
      <w:pPr>
        <w:kinsoku/>
        <w:overflowPunct/>
        <w:topLinePunct w:val="0"/>
        <w:bidi w:val="0"/>
        <w:spacing w:line="288" w:lineRule="auto"/>
        <w:jc w:val="center"/>
        <w:rPr>
          <w:rFonts w:hint="eastAsia" w:ascii="仿宋" w:hAnsi="仿宋" w:eastAsia="仿宋" w:cs="仿宋"/>
          <w:b/>
          <w:bCs/>
          <w:color w:val="auto"/>
          <w:sz w:val="44"/>
          <w:szCs w:val="40"/>
        </w:rPr>
      </w:pPr>
    </w:p>
    <w:p w14:paraId="1A2F02B2">
      <w:pPr>
        <w:kinsoku/>
        <w:overflowPunct/>
        <w:topLinePunct w:val="0"/>
        <w:bidi w:val="0"/>
        <w:spacing w:line="288" w:lineRule="auto"/>
        <w:jc w:val="center"/>
        <w:rPr>
          <w:rFonts w:hint="eastAsia" w:ascii="仿宋" w:hAnsi="仿宋" w:eastAsia="仿宋" w:cs="仿宋"/>
          <w:b/>
          <w:bCs/>
          <w:color w:val="auto"/>
          <w:sz w:val="44"/>
          <w:szCs w:val="40"/>
        </w:rPr>
      </w:pPr>
    </w:p>
    <w:p w14:paraId="0A462B6D">
      <w:pPr>
        <w:kinsoku/>
        <w:overflowPunct/>
        <w:topLinePunct w:val="0"/>
        <w:bidi w:val="0"/>
        <w:spacing w:line="288" w:lineRule="auto"/>
        <w:jc w:val="both"/>
        <w:rPr>
          <w:rFonts w:hint="eastAsia" w:ascii="仿宋" w:hAnsi="仿宋" w:eastAsia="仿宋" w:cs="仿宋"/>
          <w:b/>
          <w:bCs/>
          <w:color w:val="auto"/>
          <w:sz w:val="44"/>
          <w:szCs w:val="40"/>
        </w:rPr>
      </w:pPr>
    </w:p>
    <w:p w14:paraId="3AEC5003">
      <w:pPr>
        <w:kinsoku/>
        <w:overflowPunct/>
        <w:topLinePunct w:val="0"/>
        <w:bidi w:val="0"/>
        <w:spacing w:line="288" w:lineRule="auto"/>
        <w:jc w:val="center"/>
        <w:rPr>
          <w:rFonts w:hint="eastAsia" w:ascii="仿宋" w:hAnsi="仿宋" w:eastAsia="仿宋" w:cs="仿宋"/>
          <w:b/>
          <w:bCs/>
          <w:color w:val="auto"/>
          <w:sz w:val="44"/>
          <w:szCs w:val="40"/>
        </w:rPr>
      </w:pPr>
    </w:p>
    <w:p w14:paraId="54A83B6E">
      <w:pPr>
        <w:kinsoku/>
        <w:overflowPunct/>
        <w:topLinePunct w:val="0"/>
        <w:bidi w:val="0"/>
        <w:spacing w:line="288" w:lineRule="auto"/>
        <w:jc w:val="center"/>
        <w:rPr>
          <w:rFonts w:hint="eastAsia" w:ascii="仿宋" w:hAnsi="仿宋" w:eastAsia="仿宋" w:cs="仿宋"/>
          <w:b/>
          <w:bCs/>
          <w:color w:val="auto"/>
          <w:sz w:val="44"/>
          <w:szCs w:val="40"/>
        </w:rPr>
      </w:pPr>
    </w:p>
    <w:p w14:paraId="22B22D16">
      <w:pPr>
        <w:kinsoku/>
        <w:overflowPunct/>
        <w:topLinePunct w:val="0"/>
        <w:bidi w:val="0"/>
        <w:spacing w:line="288" w:lineRule="auto"/>
        <w:jc w:val="center"/>
        <w:rPr>
          <w:rFonts w:hint="eastAsia" w:ascii="仿宋" w:hAnsi="仿宋" w:eastAsia="仿宋" w:cs="仿宋"/>
          <w:b/>
          <w:bCs/>
          <w:color w:val="auto"/>
          <w:sz w:val="44"/>
          <w:szCs w:val="40"/>
        </w:rPr>
      </w:pPr>
    </w:p>
    <w:p w14:paraId="47714FDF">
      <w:pPr>
        <w:kinsoku/>
        <w:overflowPunct/>
        <w:topLinePunct w:val="0"/>
        <w:bidi w:val="0"/>
        <w:spacing w:line="288" w:lineRule="auto"/>
        <w:jc w:val="center"/>
        <w:rPr>
          <w:rFonts w:hint="eastAsia" w:ascii="仿宋" w:hAnsi="仿宋" w:eastAsia="仿宋" w:cs="仿宋"/>
          <w:b/>
          <w:bCs/>
          <w:color w:val="auto"/>
          <w:sz w:val="44"/>
          <w:szCs w:val="40"/>
        </w:rPr>
      </w:pPr>
    </w:p>
    <w:p w14:paraId="01F7758C">
      <w:pPr>
        <w:kinsoku/>
        <w:overflowPunct/>
        <w:topLinePunct w:val="0"/>
        <w:bidi w:val="0"/>
        <w:spacing w:line="288" w:lineRule="auto"/>
        <w:jc w:val="center"/>
        <w:rPr>
          <w:rFonts w:hint="eastAsia" w:ascii="仿宋" w:hAnsi="仿宋" w:eastAsia="仿宋" w:cs="仿宋"/>
          <w:b/>
          <w:bCs/>
          <w:color w:val="auto"/>
          <w:sz w:val="44"/>
          <w:szCs w:val="40"/>
        </w:rPr>
      </w:pPr>
    </w:p>
    <w:p w14:paraId="4EA71E6A">
      <w:pPr>
        <w:kinsoku/>
        <w:overflowPunct/>
        <w:topLinePunct w:val="0"/>
        <w:bidi w:val="0"/>
        <w:spacing w:line="288" w:lineRule="auto"/>
        <w:jc w:val="center"/>
        <w:rPr>
          <w:rFonts w:hint="eastAsia" w:ascii="仿宋" w:hAnsi="仿宋" w:eastAsia="仿宋" w:cs="仿宋"/>
          <w:b/>
          <w:bCs/>
          <w:color w:val="auto"/>
          <w:sz w:val="44"/>
          <w:szCs w:val="40"/>
        </w:rPr>
      </w:pPr>
    </w:p>
    <w:p w14:paraId="20AFFF72">
      <w:pPr>
        <w:kinsoku/>
        <w:overflowPunct/>
        <w:topLinePunct w:val="0"/>
        <w:bidi w:val="0"/>
        <w:spacing w:line="288" w:lineRule="auto"/>
        <w:jc w:val="center"/>
        <w:rPr>
          <w:rFonts w:hint="eastAsia" w:ascii="仿宋" w:hAnsi="仿宋" w:eastAsia="仿宋" w:cs="仿宋"/>
          <w:b/>
          <w:bCs/>
          <w:color w:val="auto"/>
          <w:sz w:val="44"/>
          <w:szCs w:val="40"/>
        </w:rPr>
      </w:pPr>
    </w:p>
    <w:p w14:paraId="249ACDC9">
      <w:pPr>
        <w:kinsoku/>
        <w:overflowPunct/>
        <w:topLinePunct w:val="0"/>
        <w:bidi w:val="0"/>
        <w:spacing w:line="288" w:lineRule="auto"/>
        <w:jc w:val="center"/>
        <w:rPr>
          <w:rFonts w:hint="eastAsia" w:ascii="仿宋" w:hAnsi="仿宋" w:eastAsia="仿宋" w:cs="仿宋"/>
          <w:b/>
          <w:bCs/>
          <w:color w:val="auto"/>
          <w:sz w:val="44"/>
          <w:szCs w:val="40"/>
        </w:rPr>
      </w:pPr>
    </w:p>
    <w:p w14:paraId="2BC3C43C">
      <w:pPr>
        <w:kinsoku/>
        <w:overflowPunct/>
        <w:topLinePunct w:val="0"/>
        <w:bidi w:val="0"/>
        <w:spacing w:line="288" w:lineRule="auto"/>
        <w:jc w:val="center"/>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w:t>
      </w:r>
      <w:r>
        <w:rPr>
          <w:rFonts w:hint="eastAsia" w:ascii="仿宋" w:hAnsi="仿宋" w:eastAsia="仿宋"/>
          <w:color w:val="auto"/>
          <w:sz w:val="24"/>
          <w:lang w:val="en-US" w:eastAsia="zh-CN"/>
        </w:rPr>
        <w:t>/70</w:t>
      </w:r>
      <w:r>
        <w:rPr>
          <w:rFonts w:hint="eastAsia" w:ascii="仿宋" w:hAnsi="仿宋" w:eastAsia="仿宋"/>
          <w:color w:val="auto"/>
          <w:sz w:val="24"/>
        </w:rPr>
        <w:t>分，商务分4</w:t>
      </w:r>
      <w:r>
        <w:rPr>
          <w:rFonts w:hint="eastAsia" w:ascii="仿宋" w:hAnsi="仿宋" w:eastAsia="仿宋"/>
          <w:color w:val="auto"/>
          <w:sz w:val="24"/>
          <w:lang w:val="en-US" w:eastAsia="zh-CN"/>
        </w:rPr>
        <w:t>0/30</w:t>
      </w:r>
      <w:r>
        <w:rPr>
          <w:rFonts w:hint="eastAsia" w:ascii="仿宋" w:hAnsi="仿宋" w:eastAsia="仿宋"/>
          <w:color w:val="auto"/>
          <w:sz w:val="24"/>
        </w:rPr>
        <w:t>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r>
        <w:rPr>
          <w:rFonts w:hint="eastAsia" w:ascii="仿宋" w:hAnsi="仿宋" w:eastAsia="仿宋"/>
          <w:b/>
          <w:bCs/>
          <w:color w:val="auto"/>
          <w:sz w:val="24"/>
          <w:lang w:eastAsia="zh-CN"/>
        </w:rPr>
        <w:t>标段1、</w:t>
      </w:r>
      <w:r>
        <w:rPr>
          <w:rFonts w:hint="eastAsia" w:ascii="仿宋" w:hAnsi="仿宋" w:eastAsia="仿宋"/>
          <w:b/>
          <w:bCs/>
          <w:color w:val="auto"/>
          <w:sz w:val="24"/>
          <w:lang w:val="en-US" w:eastAsia="zh-CN"/>
        </w:rPr>
        <w:t>2</w:t>
      </w: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6</w:t>
      </w:r>
      <w:r>
        <w:rPr>
          <w:rFonts w:hint="eastAsia" w:ascii="仿宋" w:hAnsi="仿宋" w:eastAsia="仿宋"/>
          <w:b/>
          <w:bCs/>
          <w:color w:val="auto"/>
          <w:sz w:val="24"/>
          <w:lang w:eastAsia="zh-CN"/>
        </w:rPr>
        <w:t>、</w:t>
      </w:r>
      <w:r>
        <w:rPr>
          <w:rFonts w:hint="eastAsia" w:ascii="仿宋" w:hAnsi="仿宋" w:eastAsia="仿宋"/>
          <w:b/>
          <w:bCs/>
          <w:color w:val="auto"/>
          <w:sz w:val="24"/>
          <w:lang w:val="en-US" w:eastAsia="zh-CN"/>
        </w:rPr>
        <w:t>8</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r>
              <w:rPr>
                <w:rFonts w:hint="eastAsia" w:ascii="仿宋" w:hAnsi="仿宋" w:eastAsia="仿宋" w:cs="仿宋"/>
                <w:color w:val="auto"/>
                <w:sz w:val="22"/>
                <w:szCs w:val="18"/>
              </w:rPr>
              <w:t>对所投产品的用户认可度、在不同类型医院（包括但不限于三甲医院）的使用情况等方面进行评价打分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lang w:val="en-US" w:eastAsia="zh-CN"/>
              </w:rPr>
              <w:t>根据用户满意度评价</w:t>
            </w:r>
            <w:r>
              <w:rPr>
                <w:rFonts w:hint="eastAsia" w:ascii="仿宋" w:hAnsi="仿宋" w:eastAsia="仿宋" w:cs="仿宋"/>
                <w:color w:val="auto"/>
                <w:sz w:val="22"/>
                <w:szCs w:val="18"/>
              </w:rPr>
              <w:t>、</w:t>
            </w:r>
            <w:r>
              <w:rPr>
                <w:rFonts w:hint="eastAsia" w:ascii="仿宋" w:hAnsi="仿宋" w:eastAsia="仿宋" w:cs="仿宋"/>
                <w:color w:val="auto"/>
                <w:sz w:val="22"/>
                <w:szCs w:val="18"/>
                <w:lang w:val="en-US" w:eastAsia="zh-CN"/>
              </w:rPr>
              <w:t>医院使用证明材料等相关材料</w:t>
            </w:r>
            <w:r>
              <w:rPr>
                <w:rFonts w:hint="eastAsia" w:ascii="仿宋" w:hAnsi="仿宋" w:eastAsia="仿宋" w:cs="仿宋"/>
                <w:color w:val="auto"/>
                <w:sz w:val="22"/>
                <w:szCs w:val="18"/>
              </w:rPr>
              <w:t>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3E5CF94D">
      <w:pPr>
        <w:kinsoku/>
        <w:overflowPunct/>
        <w:topLinePunct w:val="0"/>
        <w:bidi w:val="0"/>
        <w:spacing w:line="288" w:lineRule="auto"/>
        <w:ind w:firstLine="482" w:firstLineChars="200"/>
        <w:rPr>
          <w:rFonts w:hint="default" w:ascii="仿宋" w:hAnsi="仿宋" w:eastAsia="仿宋" w:cs="仿宋"/>
          <w:b/>
          <w:bCs/>
          <w:iCs/>
          <w:color w:val="auto"/>
          <w:sz w:val="24"/>
          <w:lang w:val="en-US"/>
        </w:rPr>
      </w:pPr>
      <w:r>
        <w:rPr>
          <w:rFonts w:hint="eastAsia" w:ascii="仿宋" w:hAnsi="仿宋" w:eastAsia="仿宋"/>
          <w:b/>
          <w:bCs/>
          <w:iCs/>
          <w:color w:val="auto"/>
          <w:sz w:val="24"/>
        </w:rPr>
        <w:t>2.</w:t>
      </w:r>
      <w:r>
        <w:rPr>
          <w:rFonts w:hint="eastAsia" w:ascii="仿宋" w:hAnsi="仿宋" w:eastAsia="仿宋"/>
          <w:b/>
          <w:bCs/>
          <w:iCs/>
          <w:color w:val="auto"/>
          <w:sz w:val="24"/>
          <w:lang w:val="en-US" w:eastAsia="zh-CN"/>
        </w:rPr>
        <w:t>2</w:t>
      </w:r>
      <w:r>
        <w:rPr>
          <w:rFonts w:hint="eastAsia" w:ascii="仿宋" w:hAnsi="仿宋" w:eastAsia="仿宋"/>
          <w:b/>
          <w:bCs/>
          <w:iCs/>
          <w:color w:val="auto"/>
          <w:sz w:val="24"/>
        </w:rPr>
        <w:t>（技术分</w:t>
      </w:r>
      <w:r>
        <w:rPr>
          <w:rFonts w:hint="eastAsia" w:ascii="仿宋" w:hAnsi="仿宋" w:eastAsia="仿宋"/>
          <w:b/>
          <w:bCs/>
          <w:iCs/>
          <w:color w:val="auto"/>
          <w:sz w:val="24"/>
          <w:lang w:val="en-US" w:eastAsia="zh-CN"/>
        </w:rPr>
        <w:t>7</w:t>
      </w:r>
      <w:r>
        <w:rPr>
          <w:rFonts w:hint="eastAsia" w:ascii="仿宋" w:hAnsi="仿宋" w:eastAsia="仿宋"/>
          <w:b/>
          <w:bCs/>
          <w:iCs/>
          <w:color w:val="auto"/>
          <w:sz w:val="24"/>
        </w:rPr>
        <w:t>0分）</w:t>
      </w:r>
      <w:r>
        <w:rPr>
          <w:rFonts w:hint="eastAsia" w:ascii="仿宋" w:hAnsi="仿宋" w:eastAsia="仿宋"/>
          <w:b/>
          <w:bCs/>
          <w:color w:val="auto"/>
          <w:sz w:val="24"/>
          <w:lang w:eastAsia="zh-CN"/>
        </w:rPr>
        <w:t>标段</w:t>
      </w:r>
      <w:r>
        <w:rPr>
          <w:rFonts w:hint="eastAsia" w:ascii="仿宋" w:hAnsi="仿宋" w:eastAsia="仿宋"/>
          <w:b/>
          <w:bCs/>
          <w:color w:val="auto"/>
          <w:sz w:val="24"/>
          <w:lang w:val="en-US" w:eastAsia="zh-CN"/>
        </w:rPr>
        <w:t>3、4、5、7、9</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630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705821B">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24419EF6">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5AEAD28C">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89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1054520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58020BA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2F66C08A">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5907082B">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03C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55D14B">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60E901A9">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7917BB3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66B000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03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29D03F0">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B3C1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对投标人运营情况及效率，如经营能力和水平、经营产品的优异性等进行评价打分。(本项分值设置为3,2,1,0.5,0分)</w:t>
            </w:r>
          </w:p>
          <w:p w14:paraId="45F77B3B">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5756FBDA">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12D9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4CCFD5A1">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24EE3B8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分；二级代理得2分；其他得1分。</w:t>
            </w:r>
          </w:p>
          <w:p w14:paraId="39521FB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4F5D367">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7B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1E6543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4B2543D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年1月1日以来医疗机构使用证明材料（发票及供货合同书，目录内半数产品覆盖为准），每提供1家医院得1分，最高分值为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分；未提交材料或提交材料不符合要求的，不得分。</w:t>
            </w:r>
          </w:p>
        </w:tc>
        <w:tc>
          <w:tcPr>
            <w:tcW w:w="375" w:type="pct"/>
            <w:vAlign w:val="center"/>
          </w:tcPr>
          <w:p w14:paraId="5B49394D">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23B2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D17B7E8">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60D72727">
            <w:pPr>
              <w:kinsoku/>
              <w:overflowPunct/>
              <w:topLinePunct w:val="0"/>
              <w:bidi w:val="0"/>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75" w:type="pct"/>
            <w:vAlign w:val="center"/>
          </w:tcPr>
          <w:p w14:paraId="4A790D1F">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575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90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47D0B65D">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2003CE5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4</w:t>
            </w:r>
          </w:p>
        </w:tc>
      </w:tr>
      <w:tr w14:paraId="0E8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1DC06B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011B9BE7">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11BA3759">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B24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D6AA7C3">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5E8B31A">
            <w:pPr>
              <w:kinsoku/>
              <w:overflowPunct/>
              <w:topLinePunct w:val="0"/>
              <w:bidi w:val="0"/>
              <w:adjustRightInd w:val="0"/>
              <w:spacing w:line="288" w:lineRule="auto"/>
              <w:jc w:val="left"/>
              <w:rPr>
                <w:rFonts w:hint="eastAsia" w:ascii="仿宋" w:hAnsi="仿宋" w:eastAsia="仿宋" w:cs="仿宋"/>
                <w:color w:val="000000"/>
                <w:sz w:val="22"/>
                <w:szCs w:val="18"/>
                <w:lang w:eastAsia="zh-CN"/>
              </w:rPr>
            </w:pPr>
            <w:r>
              <w:rPr>
                <w:rFonts w:hint="eastAsia" w:ascii="仿宋" w:hAnsi="仿宋" w:eastAsia="仿宋" w:cs="仿宋"/>
                <w:color w:val="000000"/>
                <w:sz w:val="22"/>
                <w:szCs w:val="18"/>
              </w:rPr>
              <w:t>3.对所投产品的线性和范围、有效期长短等方面进行评价打分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72208471">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3389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70C7A0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0F7630C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21EDB7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EA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0D49C797">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1FBEF2C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rPr>
              <w:t>2,1.5,1,0.5,0分)</w:t>
            </w:r>
          </w:p>
        </w:tc>
        <w:tc>
          <w:tcPr>
            <w:tcW w:w="375" w:type="pct"/>
            <w:vAlign w:val="center"/>
          </w:tcPr>
          <w:p w14:paraId="5A27B710">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7DB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0016418">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2B565D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分，不提供相关承诺不得分。</w:t>
            </w:r>
          </w:p>
        </w:tc>
        <w:tc>
          <w:tcPr>
            <w:tcW w:w="375" w:type="pct"/>
            <w:vAlign w:val="center"/>
          </w:tcPr>
          <w:p w14:paraId="0FB0B7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p>
        </w:tc>
      </w:tr>
      <w:tr w14:paraId="1A6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41110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69D65F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1451932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4EBC8CB">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9F2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437E8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69222F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4C95915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5A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6C72C64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5348B94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,4,3,2,1,0分)</w:t>
            </w:r>
          </w:p>
        </w:tc>
        <w:tc>
          <w:tcPr>
            <w:tcW w:w="375" w:type="pct"/>
            <w:vAlign w:val="center"/>
          </w:tcPr>
          <w:p w14:paraId="4F096858">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6D040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left="479" w:leftChars="228" w:firstLine="0" w:firstLineChars="0"/>
        <w:rPr>
          <w:rFonts w:hint="eastAsia" w:ascii="仿宋" w:hAnsi="仿宋" w:eastAsia="仿宋"/>
          <w:bCs/>
          <w:iCs/>
          <w:color w:val="auto"/>
          <w:sz w:val="24"/>
          <w:lang w:val="en-US" w:eastAsia="zh-CN"/>
        </w:rPr>
      </w:pPr>
      <w:r>
        <w:rPr>
          <w:rFonts w:hint="eastAsia" w:ascii="仿宋" w:hAnsi="仿宋" w:eastAsia="仿宋"/>
          <w:bCs/>
          <w:iCs/>
          <w:color w:val="auto"/>
          <w:sz w:val="24"/>
        </w:rPr>
        <w:t>即：标段</w:t>
      </w:r>
      <w:r>
        <w:rPr>
          <w:rFonts w:hint="eastAsia" w:ascii="仿宋" w:hAnsi="仿宋" w:eastAsia="仿宋"/>
          <w:bCs/>
          <w:iCs/>
          <w:color w:val="auto"/>
          <w:sz w:val="24"/>
          <w:lang w:val="en-US" w:eastAsia="zh-CN"/>
        </w:rPr>
        <w:t>1</w:t>
      </w:r>
      <w:r>
        <w:rPr>
          <w:rFonts w:hint="eastAsia" w:ascii="仿宋" w:hAnsi="仿宋" w:eastAsia="仿宋"/>
          <w:bCs/>
          <w:iCs/>
          <w:color w:val="auto"/>
          <w:sz w:val="24"/>
        </w:rPr>
        <w:t>、</w:t>
      </w:r>
      <w:r>
        <w:rPr>
          <w:rFonts w:hint="eastAsia" w:ascii="仿宋" w:hAnsi="仿宋" w:eastAsia="仿宋"/>
          <w:bCs/>
          <w:iCs/>
          <w:color w:val="auto"/>
          <w:sz w:val="24"/>
          <w:lang w:val="en-US" w:eastAsia="zh-CN"/>
        </w:rPr>
        <w:t>2</w:t>
      </w:r>
      <w:r>
        <w:rPr>
          <w:rFonts w:hint="eastAsia" w:ascii="仿宋" w:hAnsi="仿宋" w:eastAsia="仿宋"/>
          <w:bCs/>
          <w:iCs/>
          <w:color w:val="auto"/>
          <w:sz w:val="24"/>
        </w:rPr>
        <w:t>、</w:t>
      </w:r>
      <w:r>
        <w:rPr>
          <w:rFonts w:hint="eastAsia" w:ascii="仿宋" w:hAnsi="仿宋" w:eastAsia="仿宋"/>
          <w:bCs/>
          <w:iCs/>
          <w:color w:val="auto"/>
          <w:sz w:val="24"/>
          <w:lang w:val="en-US" w:eastAsia="zh-CN"/>
        </w:rPr>
        <w:t>6</w:t>
      </w:r>
      <w:r>
        <w:rPr>
          <w:rFonts w:hint="eastAsia" w:ascii="仿宋" w:hAnsi="仿宋" w:eastAsia="仿宋"/>
          <w:bCs/>
          <w:iCs/>
          <w:color w:val="auto"/>
          <w:sz w:val="24"/>
        </w:rPr>
        <w:t>、</w:t>
      </w:r>
      <w:r>
        <w:rPr>
          <w:rFonts w:hint="eastAsia" w:ascii="仿宋" w:hAnsi="仿宋" w:eastAsia="仿宋"/>
          <w:bCs/>
          <w:iCs/>
          <w:color w:val="auto"/>
          <w:sz w:val="24"/>
          <w:lang w:val="en-US" w:eastAsia="zh-CN"/>
        </w:rPr>
        <w:t>9</w:t>
      </w:r>
    </w:p>
    <w:p w14:paraId="4A75A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left="479" w:leftChars="228" w:firstLine="0" w:firstLineChars="0"/>
        <w:rPr>
          <w:rFonts w:hint="eastAsia" w:ascii="仿宋" w:hAnsi="仿宋" w:eastAsia="仿宋"/>
          <w:bCs/>
          <w:iCs/>
          <w:color w:val="auto"/>
          <w:sz w:val="24"/>
        </w:rPr>
      </w:pPr>
      <w:r>
        <w:rPr>
          <w:rFonts w:hint="eastAsia" w:ascii="仿宋" w:hAnsi="仿宋" w:eastAsia="仿宋"/>
          <w:bCs/>
          <w:iCs/>
          <w:color w:val="auto"/>
          <w:sz w:val="24"/>
        </w:rPr>
        <w:t>投标报价得分=(评标基准价／投标报价)×40</w:t>
      </w:r>
    </w:p>
    <w:p w14:paraId="51C7A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bCs/>
          <w:iCs/>
          <w:color w:val="auto"/>
          <w:sz w:val="24"/>
          <w:lang w:val="en-US" w:eastAsia="zh-CN"/>
        </w:rPr>
      </w:pPr>
      <w:r>
        <w:rPr>
          <w:rFonts w:hint="eastAsia" w:ascii="仿宋" w:hAnsi="仿宋" w:eastAsia="仿宋"/>
          <w:bCs/>
          <w:iCs/>
          <w:color w:val="auto"/>
          <w:sz w:val="24"/>
        </w:rPr>
        <w:t>标段</w:t>
      </w:r>
      <w:r>
        <w:rPr>
          <w:rFonts w:hint="eastAsia" w:ascii="仿宋" w:hAnsi="仿宋" w:eastAsia="仿宋"/>
          <w:bCs/>
          <w:iCs/>
          <w:color w:val="auto"/>
          <w:sz w:val="24"/>
          <w:lang w:val="en-US" w:eastAsia="zh-CN"/>
        </w:rPr>
        <w:t>3</w:t>
      </w:r>
      <w:r>
        <w:rPr>
          <w:rFonts w:hint="eastAsia" w:ascii="仿宋" w:hAnsi="仿宋" w:eastAsia="仿宋"/>
          <w:bCs/>
          <w:iCs/>
          <w:color w:val="auto"/>
          <w:sz w:val="24"/>
        </w:rPr>
        <w:t>、4、5、</w:t>
      </w:r>
      <w:r>
        <w:rPr>
          <w:rFonts w:hint="eastAsia" w:ascii="仿宋" w:hAnsi="仿宋" w:eastAsia="仿宋"/>
          <w:bCs/>
          <w:iCs/>
          <w:color w:val="auto"/>
          <w:sz w:val="24"/>
          <w:lang w:val="en-US" w:eastAsia="zh-CN"/>
        </w:rPr>
        <w:t>7</w:t>
      </w:r>
      <w:r>
        <w:rPr>
          <w:rFonts w:hint="eastAsia" w:ascii="仿宋" w:hAnsi="仿宋" w:eastAsia="仿宋"/>
          <w:bCs/>
          <w:iCs/>
          <w:color w:val="auto"/>
          <w:sz w:val="24"/>
        </w:rPr>
        <w:t>、</w:t>
      </w:r>
      <w:r>
        <w:rPr>
          <w:rFonts w:hint="eastAsia" w:ascii="仿宋" w:hAnsi="仿宋" w:eastAsia="仿宋"/>
          <w:bCs/>
          <w:iCs/>
          <w:color w:val="auto"/>
          <w:sz w:val="24"/>
          <w:lang w:val="en-US" w:eastAsia="zh-CN"/>
        </w:rPr>
        <w:t>8</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default" w:ascii="仿宋" w:hAnsi="仿宋" w:eastAsia="仿宋"/>
          <w:bCs/>
          <w:iCs/>
          <w:color w:val="auto"/>
          <w:sz w:val="24"/>
          <w:lang w:val="en-US" w:eastAsia="zh-CN"/>
        </w:rPr>
      </w:pPr>
      <w:r>
        <w:rPr>
          <w:rFonts w:hint="eastAsia" w:ascii="仿宋" w:hAnsi="仿宋" w:eastAsia="仿宋"/>
          <w:bCs/>
          <w:iCs/>
          <w:color w:val="auto"/>
          <w:sz w:val="24"/>
        </w:rPr>
        <w:t>投标报价得分=(评标基准价／投标报价)×</w:t>
      </w:r>
      <w:r>
        <w:rPr>
          <w:rFonts w:hint="eastAsia" w:ascii="仿宋" w:hAnsi="仿宋" w:eastAsia="仿宋"/>
          <w:bCs/>
          <w:iCs/>
          <w:color w:val="auto"/>
          <w:sz w:val="24"/>
          <w:lang w:val="en-US" w:eastAsia="zh-CN"/>
        </w:rPr>
        <w:t>3</w:t>
      </w:r>
      <w:r>
        <w:rPr>
          <w:rFonts w:hint="eastAsia" w:ascii="仿宋" w:hAnsi="仿宋" w:eastAsia="仿宋"/>
          <w:bCs/>
          <w:iCs/>
          <w:color w:val="auto"/>
          <w:sz w:val="24"/>
        </w:rPr>
        <w:t>0</w:t>
      </w: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31D8E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A27C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4329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452D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3A26A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DE29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7E27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C2D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B7F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3097E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10C4F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9638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71DA0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0DB0D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7ADAC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4733A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1B7B8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1312"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1312;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绍兴大学附属医院2026年第二批试剂采购项目</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绍兴大学附属医院2026年第二批试剂采购项目</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60288"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60288;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绍兴大学附属医院2026年第二批试剂采购项目</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2336"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2336;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3360"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3360;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16D9A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lang w:val="zh-CN"/>
        </w:rPr>
        <w:t>.</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6</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40"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4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spacing w:line="240" w:lineRule="auto"/>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spacing w:line="240" w:lineRule="auto"/>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spacing w:line="240" w:lineRule="auto"/>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spacing w:line="240" w:lineRule="auto"/>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spacing w:line="240" w:lineRule="auto"/>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spacing w:line="240" w:lineRule="auto"/>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spacing w:line="240" w:lineRule="auto"/>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spacing w:line="240" w:lineRule="auto"/>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spacing w:line="240" w:lineRule="auto"/>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spacing w:line="240" w:lineRule="auto"/>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6"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6"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line="240" w:lineRule="auto"/>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line="240" w:lineRule="auto"/>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line="240" w:lineRule="auto"/>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6"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6"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6" w:type="pct"/>
            <w:tcBorders>
              <w:top w:val="single" w:color="auto" w:sz="4" w:space="0"/>
              <w:left w:val="single" w:color="auto" w:sz="4" w:space="0"/>
              <w:bottom w:val="single" w:color="auto" w:sz="4" w:space="0"/>
              <w:right w:val="single" w:color="auto" w:sz="4" w:space="0"/>
            </w:tcBorders>
            <w:noWrap/>
            <w:vAlign w:val="center"/>
          </w:tcPr>
          <w:p w14:paraId="00DE6E3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各标段技术参数中含有基本要求条款需全部响应。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6"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各标段包含所有相关配套设备、耗材、质控品、校准品、定标液、样品杯等，以保证临床使用，均包含在投标报价中，不单独报价。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31F6D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3200ED82">
            <w:pPr>
              <w:snapToGrid w:val="0"/>
              <w:spacing w:before="50" w:after="50"/>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w:t>
            </w:r>
          </w:p>
        </w:tc>
        <w:tc>
          <w:tcPr>
            <w:tcW w:w="3896" w:type="pct"/>
            <w:tcBorders>
              <w:top w:val="single" w:color="auto" w:sz="4" w:space="0"/>
              <w:left w:val="single" w:color="auto" w:sz="4" w:space="0"/>
              <w:bottom w:val="single" w:color="auto" w:sz="4" w:space="0"/>
              <w:right w:val="single" w:color="auto" w:sz="4" w:space="0"/>
            </w:tcBorders>
            <w:noWrap/>
            <w:vAlign w:val="center"/>
          </w:tcPr>
          <w:p w14:paraId="3A8D594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14A64287">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6FC539">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6"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6"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line="24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E0572F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0209773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79FA60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7BB9C51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10395D9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A6B76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C8C38F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EA6233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4322E0B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3CAA3B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EDF85C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3E73FC6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6117005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698BE2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7E46D33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4F1DBFA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B23430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2DF69B0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6EE16C9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C3383B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AF56A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2A93E85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784ADD7E">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p>
    <w:p w14:paraId="0CDEB5E2">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6C0490D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40"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18" w:name="_Toc64369810"/>
      <w:bookmarkEnd w:id="18"/>
      <w:bookmarkStart w:id="19" w:name="_Toc64369812"/>
      <w:bookmarkEnd w:id="19"/>
      <w:bookmarkStart w:id="20" w:name="_Toc64369813"/>
      <w:bookmarkEnd w:id="20"/>
      <w:bookmarkStart w:id="21" w:name="_Toc64369814"/>
      <w:bookmarkEnd w:id="21"/>
      <w:bookmarkStart w:id="22" w:name="_Toc64369807"/>
      <w:bookmarkEnd w:id="22"/>
      <w:bookmarkStart w:id="23" w:name="_Toc64369804"/>
      <w:bookmarkEnd w:id="23"/>
      <w:bookmarkStart w:id="24" w:name="_Toc64369808"/>
      <w:bookmarkEnd w:id="24"/>
      <w:bookmarkStart w:id="25" w:name="_Toc64369805"/>
      <w:bookmarkEnd w:id="25"/>
      <w:bookmarkStart w:id="26" w:name="_Toc64369809"/>
      <w:bookmarkEnd w:id="26"/>
      <w:bookmarkStart w:id="27" w:name="_Toc64369811"/>
      <w:bookmarkEnd w:id="27"/>
      <w:bookmarkStart w:id="28" w:name="_Toc64369806"/>
      <w:bookmarkEnd w:id="28"/>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4384"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4384;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5408"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5408;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0B135123">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E510589">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0B0500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0BEA81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5C279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6B5D3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2656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7DA7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BBC11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5B6BC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DAEA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EE5AA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19622AD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FF54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97CDDA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240974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746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40FD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2D3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644596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A0F71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C40C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B15CBB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46EF70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B85CB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48F41246">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2D5A7A6E">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5E804D7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06788068">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9F8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B7F372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333B1485">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1E6858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DA4A79B">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525FBBB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29833BB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26FE91C1">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337A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3DDE0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6F5BC18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0A601E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87B70F1">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F0D3">
            <w:pPr>
              <w:kinsoku/>
              <w:overflowPunct/>
              <w:topLinePunct w:val="0"/>
              <w:bidi w:val="0"/>
              <w:spacing w:line="288" w:lineRule="auto"/>
              <w:rPr>
                <w:rFonts w:ascii="仿宋" w:hAnsi="仿宋" w:eastAsia="仿宋" w:cs="仿宋"/>
                <w:color w:val="auto"/>
                <w:sz w:val="24"/>
                <w:szCs w:val="24"/>
              </w:rPr>
            </w:pPr>
          </w:p>
        </w:tc>
      </w:tr>
      <w:tr w14:paraId="11EF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78E7DB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4ACE7AE5">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C3F36DF">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9D6C54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1C29770E">
            <w:pPr>
              <w:kinsoku/>
              <w:overflowPunct/>
              <w:topLinePunct w:val="0"/>
              <w:bidi w:val="0"/>
              <w:spacing w:line="288" w:lineRule="auto"/>
              <w:rPr>
                <w:rFonts w:ascii="仿宋" w:hAnsi="仿宋" w:eastAsia="仿宋" w:cs="仿宋"/>
                <w:color w:val="auto"/>
                <w:sz w:val="24"/>
                <w:szCs w:val="24"/>
              </w:rPr>
            </w:pPr>
          </w:p>
        </w:tc>
      </w:tr>
      <w:tr w14:paraId="4EB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7411C9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AFCC52B">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CFAC6C9">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4AB862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B13C1CF">
            <w:pPr>
              <w:kinsoku/>
              <w:overflowPunct/>
              <w:topLinePunct w:val="0"/>
              <w:bidi w:val="0"/>
              <w:spacing w:line="288" w:lineRule="auto"/>
              <w:rPr>
                <w:rFonts w:ascii="仿宋" w:hAnsi="仿宋" w:eastAsia="仿宋" w:cs="仿宋"/>
                <w:color w:val="auto"/>
                <w:sz w:val="24"/>
                <w:szCs w:val="24"/>
              </w:rPr>
            </w:pPr>
          </w:p>
        </w:tc>
      </w:tr>
    </w:tbl>
    <w:p w14:paraId="4FF3B4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25A60C0F">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747B58E8">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D309BF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E3E0AB2">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7BF079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B4C197C">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77818A8">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28BFCEC1">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318ED04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1267D1C9">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C12D2E5">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F7AD32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7DF32D6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12、技术响应表（如有）</w:t>
      </w:r>
    </w:p>
    <w:p w14:paraId="5022BEBC">
      <w:pPr>
        <w:kinsoku/>
        <w:overflowPunct/>
        <w:topLinePunct w:val="0"/>
        <w:bidi w:val="0"/>
        <w:snapToGrid w:val="0"/>
        <w:spacing w:before="50" w:after="156" w:afterLines="50" w:line="288" w:lineRule="auto"/>
        <w:ind w:firstLine="883"/>
        <w:jc w:val="center"/>
        <w:rPr>
          <w:rFonts w:hint="eastAsia" w:ascii="仿宋" w:hAnsi="仿宋" w:eastAsia="仿宋" w:cs="仿宋"/>
          <w:b/>
          <w:spacing w:val="40"/>
          <w:kern w:val="0"/>
          <w:sz w:val="36"/>
          <w:szCs w:val="36"/>
        </w:rPr>
      </w:pP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1E755CFA">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16、</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7" w:type="default"/>
          <w:pgSz w:w="11907" w:h="16840"/>
          <w:pgMar w:top="1247" w:right="1361" w:bottom="1134" w:left="1361" w:header="765" w:footer="82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8" w:type="default"/>
          <w:pgSz w:w="16840" w:h="11907" w:orient="landscape"/>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9"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9DDE8">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458DE">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C458DE">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28B5">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42B3E">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C42B3E">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绍兴大学附属医院2026年第二批试剂采购项目</w:t>
    </w:r>
    <w:r>
      <w:rPr>
        <w:rFonts w:hint="eastAsia"/>
      </w:rPr>
      <w:t>（</w:t>
    </w:r>
    <w:r>
      <w:rPr>
        <w:rFonts w:hint="eastAsia"/>
        <w:lang w:eastAsia="zh-CN"/>
      </w:rPr>
      <w:t>YH20</w:t>
    </w:r>
    <w:r>
      <w:rPr>
        <w:rFonts w:hint="eastAsia"/>
        <w:lang w:val="en-US" w:eastAsia="zh-CN"/>
      </w:rPr>
      <w:t>26-06017）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绍兴大学附属医院2026年第二批试剂采购项目</w:t>
    </w:r>
    <w:r>
      <w:rPr>
        <w:rFonts w:hint="eastAsia"/>
      </w:rPr>
      <w:t>（</w:t>
    </w:r>
    <w:r>
      <w:rPr>
        <w:rFonts w:hint="eastAsia"/>
        <w:lang w:eastAsia="zh-CN"/>
      </w:rPr>
      <w:t>YH20</w:t>
    </w:r>
    <w:r>
      <w:rPr>
        <w:rFonts w:hint="eastAsia"/>
        <w:lang w:val="en-US" w:eastAsia="zh-CN"/>
      </w:rPr>
      <w:t>26-04022）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绍兴大学附属医院2026年第二批试剂采购项目</w:t>
    </w:r>
    <w:r>
      <w:rPr>
        <w:rFonts w:hint="eastAsia"/>
      </w:rPr>
      <w:t>（</w:t>
    </w:r>
    <w:r>
      <w:rPr>
        <w:rFonts w:hint="eastAsia"/>
        <w:lang w:eastAsia="zh-CN"/>
      </w:rPr>
      <w:t>YH20</w:t>
    </w:r>
    <w:r>
      <w:rPr>
        <w:rFonts w:hint="eastAsia"/>
        <w:lang w:val="en-US" w:eastAsia="zh-CN"/>
      </w:rPr>
      <w:t>26-04022）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BDF5878"/>
    <w:rsid w:val="0BE8147C"/>
    <w:rsid w:val="0C174A27"/>
    <w:rsid w:val="0C5D60B6"/>
    <w:rsid w:val="0CED2080"/>
    <w:rsid w:val="0D1D1A10"/>
    <w:rsid w:val="0D695B42"/>
    <w:rsid w:val="0D7947C8"/>
    <w:rsid w:val="0D935B75"/>
    <w:rsid w:val="0D9C7B4D"/>
    <w:rsid w:val="0E04763A"/>
    <w:rsid w:val="0E81553B"/>
    <w:rsid w:val="0E9A3178"/>
    <w:rsid w:val="0EC35D4B"/>
    <w:rsid w:val="0F4D6BE8"/>
    <w:rsid w:val="0F825E34"/>
    <w:rsid w:val="0FC010DF"/>
    <w:rsid w:val="102D6D8C"/>
    <w:rsid w:val="108A584D"/>
    <w:rsid w:val="10D54539"/>
    <w:rsid w:val="1186198E"/>
    <w:rsid w:val="12A3199C"/>
    <w:rsid w:val="12F636C2"/>
    <w:rsid w:val="13AF3D3D"/>
    <w:rsid w:val="147B7EA4"/>
    <w:rsid w:val="149752AF"/>
    <w:rsid w:val="150B775C"/>
    <w:rsid w:val="154F67B8"/>
    <w:rsid w:val="15F746EC"/>
    <w:rsid w:val="163F7FB8"/>
    <w:rsid w:val="171D3FE1"/>
    <w:rsid w:val="176339A8"/>
    <w:rsid w:val="17C718D0"/>
    <w:rsid w:val="180714C1"/>
    <w:rsid w:val="18855E8F"/>
    <w:rsid w:val="18AE7B80"/>
    <w:rsid w:val="18BE530B"/>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E4179C"/>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A374A5"/>
    <w:rsid w:val="3AB60176"/>
    <w:rsid w:val="3ABB5337"/>
    <w:rsid w:val="3B62605C"/>
    <w:rsid w:val="3C30773C"/>
    <w:rsid w:val="3C9B5361"/>
    <w:rsid w:val="3D2A2A57"/>
    <w:rsid w:val="3D364D7F"/>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AC6616E"/>
    <w:rsid w:val="4B432979"/>
    <w:rsid w:val="4CEF795D"/>
    <w:rsid w:val="4D213554"/>
    <w:rsid w:val="4D394357"/>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CB00EB7"/>
    <w:rsid w:val="5D081B2B"/>
    <w:rsid w:val="5F5038BD"/>
    <w:rsid w:val="5F7268F8"/>
    <w:rsid w:val="602D27C4"/>
    <w:rsid w:val="60883B6A"/>
    <w:rsid w:val="60DB671F"/>
    <w:rsid w:val="60F635C7"/>
    <w:rsid w:val="61566C51"/>
    <w:rsid w:val="61DF02F6"/>
    <w:rsid w:val="63C3055D"/>
    <w:rsid w:val="63E322D9"/>
    <w:rsid w:val="63FB4E0D"/>
    <w:rsid w:val="64665646"/>
    <w:rsid w:val="656637F5"/>
    <w:rsid w:val="65C60088"/>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98470F6"/>
    <w:rsid w:val="7A064AD5"/>
    <w:rsid w:val="7A4D5B16"/>
    <w:rsid w:val="7A631723"/>
    <w:rsid w:val="7A8227E7"/>
    <w:rsid w:val="7BFC43B0"/>
    <w:rsid w:val="7CFD1A9F"/>
    <w:rsid w:val="7DD5231C"/>
    <w:rsid w:val="7E1D2B1E"/>
    <w:rsid w:val="7E7C73E8"/>
    <w:rsid w:val="7FB43B2F"/>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68</Pages>
  <Words>12776</Words>
  <Characters>14017</Characters>
  <Lines>392</Lines>
  <Paragraphs>110</Paragraphs>
  <TotalTime>12</TotalTime>
  <ScaleCrop>false</ScaleCrop>
  <LinksUpToDate>false</LinksUpToDate>
  <CharactersWithSpaces>14114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2026-06-10T06:30:00Z</cp:lastPrinted>
  <dcterms:modified xsi:type="dcterms:W3CDTF">2026-07-09T08:06:21Z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