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2A285713">
      <w:pPr>
        <w:kinsoku/>
        <w:overflowPunct/>
        <w:topLinePunct w:val="0"/>
        <w:bidi w:val="0"/>
        <w:spacing w:line="288" w:lineRule="auto"/>
        <w:jc w:val="center"/>
        <w:rPr>
          <w:rFonts w:hint="eastAsia" w:ascii="仿宋" w:hAnsi="仿宋" w:eastAsia="仿宋" w:cs="仿宋"/>
          <w:b/>
          <w:bCs/>
          <w:color w:val="auto"/>
          <w:sz w:val="72"/>
          <w:szCs w:val="72"/>
        </w:rPr>
      </w:pPr>
      <w:r>
        <w:rPr>
          <w:rFonts w:hint="eastAsia" w:ascii="仿宋" w:hAnsi="仿宋" w:eastAsia="仿宋" w:cs="仿宋"/>
          <w:b/>
          <w:color w:val="auto"/>
          <w:sz w:val="48"/>
          <w:szCs w:val="48"/>
          <w:lang w:eastAsia="zh-CN"/>
        </w:rPr>
        <w:t>绍兴大学附属医院2026年第一次诊断试剂采购项目（三次）</w:t>
      </w: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418B8FA4">
      <w:pPr>
        <w:kinsoku/>
        <w:overflowPunct/>
        <w:topLinePunct w:val="0"/>
        <w:bidi w:val="0"/>
        <w:spacing w:line="288"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YH2026-04023-2</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footerReference r:id="rId6" w:type="first"/>
          <w:headerReference r:id="rId3" w:type="default"/>
          <w:footerReference r:id="rId5"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13894197"/>
      <w:bookmarkStart w:id="2" w:name="_Hlk132273255"/>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绍兴大学附属医院2026年第一次诊断试剂采购项目（三次）</w:t>
      </w:r>
    </w:p>
    <w:p w14:paraId="0126D371">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val="en-US" w:eastAsia="zh-CN"/>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YH2026-04023-2</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5129"/>
        <w:gridCol w:w="1991"/>
        <w:gridCol w:w="2695"/>
      </w:tblGrid>
      <w:tr w14:paraId="1454B299">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5129"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绍兴大学附属医院2026年第一次诊断试剂采购项目（三次）</w:t>
            </w:r>
          </w:p>
        </w:tc>
        <w:tc>
          <w:tcPr>
            <w:tcW w:w="1991"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年</w:t>
            </w:r>
          </w:p>
        </w:tc>
        <w:tc>
          <w:tcPr>
            <w:tcW w:w="2695"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14622117</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DC77417">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4DD87E1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022F32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3.项目配套服务中涉及提供的设备，供应商须承诺根据临床要求，接入医院LIS/HIS系统，相应费用包含在投标报价中，不单独报价。</w:t>
      </w:r>
    </w:p>
    <w:p w14:paraId="17BF422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4.各标段技术参数中含有基本要求条款需全部响应。</w:t>
      </w:r>
    </w:p>
    <w:p w14:paraId="056D9E3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5.各标段包含所有相关配套设备、耗材、质控品、校准品、定标液、样品杯等，以保证临床使用，均包含在投标报价中，不单独报价（流式细胞补充试剂标段外）。</w:t>
      </w:r>
    </w:p>
    <w:p w14:paraId="2ABEEE5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6.配送需要通过绍兴大学附属医院SPD物资管理系统进行配送结算，产生费用由供应商与SPD管理公司自行协商。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8</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8</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11</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00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7"/>
      <w:bookmarkEnd w:id="5"/>
      <w:bookmarkStart w:id="6" w:name="_Hlt10553106"/>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绍兴大学附属医院：https://</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绍兴大学招投标与采购中心</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hint="eastAsia" w:ascii="仿宋" w:hAnsi="仿宋" w:eastAsia="仿宋" w:cs="仿宋"/>
          <w:color w:val="auto"/>
          <w:kern w:val="0"/>
          <w:sz w:val="24"/>
          <w:u w:val="single"/>
          <w:lang w:eastAsia="zh-CN"/>
        </w:rPr>
      </w:pPr>
      <w:r>
        <w:rPr>
          <w:rFonts w:hint="eastAsia" w:ascii="仿宋" w:hAnsi="仿宋" w:eastAsia="仿宋" w:cs="仿宋"/>
          <w:color w:val="auto"/>
          <w:kern w:val="0"/>
          <w:sz w:val="24"/>
          <w:u w:val="single"/>
        </w:rPr>
        <w:t>绍兴大学附属医院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7月21</w:t>
      </w:r>
      <w:bookmarkStart w:id="31" w:name="_GoBack"/>
      <w:bookmarkEnd w:id="31"/>
      <w:r>
        <w:rPr>
          <w:rFonts w:hint="eastAsia" w:ascii="仿宋" w:hAnsi="仿宋" w:eastAsia="仿宋" w:cs="仿宋"/>
          <w:color w:val="auto"/>
          <w:kern w:val="0"/>
          <w:sz w:val="24"/>
          <w:highlight w:val="none"/>
          <w:u w:val="single"/>
        </w:rPr>
        <w:t>日</w:t>
      </w:r>
      <w:bookmarkEnd w:id="1"/>
      <w:bookmarkEnd w:id="2"/>
      <w:bookmarkEnd w:id="4"/>
      <w:bookmarkStart w:id="7" w:name="_Toc104885740"/>
    </w:p>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7E2EE211">
      <w:pPr>
        <w:kinsoku/>
        <w:overflowPunct/>
        <w:topLinePunct w:val="0"/>
        <w:bidi w:val="0"/>
        <w:spacing w:line="288" w:lineRule="auto"/>
        <w:jc w:val="center"/>
        <w:rPr>
          <w:rFonts w:hint="eastAsia" w:ascii="仿宋" w:hAnsi="仿宋" w:eastAsia="仿宋" w:cs="仿宋"/>
          <w:b/>
          <w:bCs/>
          <w:color w:val="auto"/>
          <w:sz w:val="44"/>
          <w:szCs w:val="44"/>
        </w:rPr>
      </w:pPr>
    </w:p>
    <w:p w14:paraId="1682F924">
      <w:pPr>
        <w:kinsoku/>
        <w:overflowPunct/>
        <w:topLinePunct w:val="0"/>
        <w:bidi w:val="0"/>
        <w:spacing w:line="288" w:lineRule="auto"/>
        <w:jc w:val="center"/>
        <w:rPr>
          <w:rFonts w:hint="eastAsia" w:ascii="仿宋" w:hAnsi="仿宋" w:eastAsia="仿宋" w:cs="仿宋"/>
          <w:b/>
          <w:bCs/>
          <w:color w:val="auto"/>
          <w:sz w:val="44"/>
          <w:szCs w:val="44"/>
        </w:rPr>
      </w:pPr>
    </w:p>
    <w:p w14:paraId="1589100F">
      <w:pPr>
        <w:kinsoku/>
        <w:overflowPunct/>
        <w:topLinePunct w:val="0"/>
        <w:bidi w:val="0"/>
        <w:spacing w:line="288" w:lineRule="auto"/>
        <w:jc w:val="center"/>
        <w:rPr>
          <w:rFonts w:hint="eastAsia" w:ascii="仿宋" w:hAnsi="仿宋" w:eastAsia="仿宋" w:cs="仿宋"/>
          <w:b/>
          <w:bCs/>
          <w:color w:val="auto"/>
          <w:sz w:val="44"/>
          <w:szCs w:val="44"/>
        </w:rPr>
      </w:pPr>
    </w:p>
    <w:p w14:paraId="32F4C71D">
      <w:pPr>
        <w:kinsoku/>
        <w:overflowPunct/>
        <w:topLinePunct w:val="0"/>
        <w:bidi w:val="0"/>
        <w:spacing w:line="288" w:lineRule="auto"/>
        <w:jc w:val="center"/>
        <w:rPr>
          <w:rFonts w:hint="eastAsia" w:ascii="仿宋" w:hAnsi="仿宋" w:eastAsia="仿宋" w:cs="仿宋"/>
          <w:b/>
          <w:bCs/>
          <w:color w:val="auto"/>
          <w:sz w:val="44"/>
          <w:szCs w:val="44"/>
        </w:rPr>
      </w:pPr>
    </w:p>
    <w:p w14:paraId="4ECF8573">
      <w:pPr>
        <w:kinsoku/>
        <w:overflowPunct/>
        <w:topLinePunct w:val="0"/>
        <w:bidi w:val="0"/>
        <w:spacing w:line="288" w:lineRule="auto"/>
        <w:jc w:val="center"/>
        <w:rPr>
          <w:rFonts w:hint="eastAsia" w:ascii="仿宋" w:hAnsi="仿宋" w:eastAsia="仿宋" w:cs="仿宋"/>
          <w:b/>
          <w:bCs/>
          <w:color w:val="auto"/>
          <w:sz w:val="44"/>
          <w:szCs w:val="44"/>
        </w:rPr>
      </w:pPr>
    </w:p>
    <w:p w14:paraId="2DF316A1">
      <w:pPr>
        <w:kinsoku/>
        <w:overflowPunct/>
        <w:topLinePunct w:val="0"/>
        <w:bidi w:val="0"/>
        <w:spacing w:line="288" w:lineRule="auto"/>
        <w:jc w:val="center"/>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w:t>
            </w:r>
            <w:r>
              <w:rPr>
                <w:rFonts w:hint="eastAsia" w:ascii="仿宋" w:hAnsi="仿宋" w:eastAsia="仿宋" w:cs="仿宋"/>
                <w:b/>
                <w:color w:val="auto"/>
                <w:sz w:val="24"/>
                <w:highlight w:val="yellow"/>
              </w:rPr>
              <w:t>正本一份，副本</w:t>
            </w:r>
            <w:r>
              <w:rPr>
                <w:rFonts w:hint="eastAsia" w:ascii="仿宋" w:hAnsi="仿宋" w:eastAsia="仿宋" w:cs="仿宋"/>
                <w:b/>
                <w:color w:val="auto"/>
                <w:sz w:val="24"/>
                <w:highlight w:val="yellow"/>
                <w:lang w:eastAsia="zh-CN"/>
              </w:rPr>
              <w:t>六</w:t>
            </w:r>
            <w:r>
              <w:rPr>
                <w:rFonts w:hint="eastAsia" w:ascii="仿宋" w:hAnsi="仿宋" w:eastAsia="仿宋" w:cs="仿宋"/>
                <w:b/>
                <w:color w:val="auto"/>
                <w:sz w:val="24"/>
                <w:highlight w:val="yellow"/>
              </w:rPr>
              <w:t>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rPr>
              <w:t>1</w:t>
            </w:r>
            <w:r>
              <w:rPr>
                <w:rFonts w:hint="eastAsia" w:ascii="仿宋" w:hAnsi="仿宋" w:eastAsia="仿宋" w:cs="仿宋"/>
                <w:color w:val="auto"/>
                <w:sz w:val="24"/>
                <w:lang w:val="en-US" w:eastAsia="zh-CN"/>
              </w:rPr>
              <w:t>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w:t>
            </w:r>
            <w:r>
              <w:rPr>
                <w:rFonts w:hint="eastAsia" w:ascii="仿宋" w:hAnsi="仿宋" w:eastAsia="仿宋" w:cs="仿宋"/>
                <w:color w:val="auto"/>
                <w:sz w:val="24"/>
                <w:lang w:val="en-US" w:eastAsia="zh-CN"/>
              </w:rPr>
              <w:t>1.5</w:t>
            </w:r>
            <w:r>
              <w:rPr>
                <w:rFonts w:hint="eastAsia" w:ascii="仿宋" w:hAnsi="仿宋" w:eastAsia="仿宋" w:cs="仿宋"/>
                <w:color w:val="auto"/>
                <w:sz w:val="24"/>
              </w:rPr>
              <w:t>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2ABBE18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4.1采购人如对招标文件进行澄清、补充、变更的，或者在投标截止时间前规定时间内，采购人需要对招标文件进行补充或修改的，采购人将会通过绍兴大学附属医院：https://</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5EC785D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p>
    <w:p w14:paraId="50FA195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投标产品质量相关证明材料</w:t>
      </w:r>
      <w:r>
        <w:rPr>
          <w:rFonts w:hint="eastAsia" w:ascii="仿宋" w:hAnsi="仿宋" w:eastAsia="仿宋" w:cs="仿宋"/>
          <w:color w:val="auto"/>
          <w:highlight w:val="none"/>
          <w:lang w:eastAsia="zh-CN"/>
        </w:rPr>
        <w:t>；</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1B3DFFD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hint="eastAsia" w:ascii="仿宋" w:hAnsi="仿宋" w:eastAsia="仿宋" w:cs="仿宋"/>
          <w:b/>
          <w:bCs/>
          <w:color w:val="auto"/>
          <w:sz w:val="32"/>
          <w:szCs w:val="22"/>
        </w:rPr>
      </w:pPr>
      <w:r>
        <w:rPr>
          <w:rFonts w:hint="eastAsia" w:ascii="仿宋" w:hAnsi="仿宋" w:eastAsia="仿宋" w:cs="仿宋"/>
          <w:color w:val="auto"/>
          <w:szCs w:val="24"/>
        </w:rPr>
        <w:t>5.4投标文件不予退还。</w:t>
      </w:r>
      <w:bookmarkStart w:id="11" w:name="_Toc104885744"/>
    </w:p>
    <w:p w14:paraId="25D3463C">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adjustRightInd/>
        <w:snapToGrid w:val="0"/>
        <w:spacing w:line="276"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adjustRightInd/>
        <w:snapToGrid w:val="0"/>
        <w:spacing w:line="276"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adjustRightInd/>
        <w:snapToGrid w:val="0"/>
        <w:spacing w:line="276"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adjustRightInd/>
        <w:spacing w:line="276"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adjustRightInd/>
        <w:spacing w:line="276"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adjustRightInd/>
        <w:spacing w:line="276"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adjustRightInd/>
        <w:spacing w:line="276"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adjustRightInd/>
        <w:spacing w:line="276"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1765"/>
        <w:gridCol w:w="668"/>
        <w:gridCol w:w="2824"/>
        <w:gridCol w:w="768"/>
        <w:gridCol w:w="861"/>
        <w:gridCol w:w="786"/>
        <w:gridCol w:w="898"/>
      </w:tblGrid>
      <w:tr w14:paraId="32090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2F3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标段序号</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E8A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标段名称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5C5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目录序号</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24D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参考名称及规格</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C0F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772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上限价（元）</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353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年预算使用量</w:t>
            </w:r>
          </w:p>
        </w:tc>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559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年预算金额</w:t>
            </w:r>
          </w:p>
        </w:tc>
      </w:tr>
      <w:tr w14:paraId="02A9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E6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4B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嗜血杆菌巧克力琼脂培养基（90mm)</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D5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EE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嗜血杆菌巧克力琼脂培养基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CB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5A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7F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022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6400</w:t>
            </w:r>
          </w:p>
        </w:tc>
      </w:tr>
      <w:tr w14:paraId="60EED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E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F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甲胎蛋白异质体比率（AFP-L3%）</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1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C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甲胎蛋白异质体比率（AFP-L3%）测定试剂盒</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C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8C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73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23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17400</w:t>
            </w:r>
          </w:p>
        </w:tc>
      </w:tr>
      <w:tr w14:paraId="4558A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38" w:type="dxa"/>
            <w:vMerge w:val="restart"/>
            <w:tcBorders>
              <w:top w:val="single" w:color="000000" w:sz="4" w:space="0"/>
              <w:left w:val="single" w:color="000000" w:sz="4" w:space="0"/>
              <w:bottom w:val="nil"/>
              <w:right w:val="single" w:color="000000" w:sz="4" w:space="0"/>
            </w:tcBorders>
            <w:shd w:val="clear" w:color="auto" w:fill="auto"/>
            <w:vAlign w:val="center"/>
          </w:tcPr>
          <w:p w14:paraId="4FCF589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D46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微生物培养基、染液试剂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865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EE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解脲脲原体和人型支原体培养鉴定药敏试剂盒(液体培养基)(微生物检验法)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D9F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人份</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D9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9.75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7A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625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1950</w:t>
            </w:r>
          </w:p>
        </w:tc>
      </w:tr>
      <w:tr w14:paraId="5C6B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52DAD06">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E68EF">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9F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68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水解酪蛋白琼脂细菌干粉培养基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C5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11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0.56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4B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940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140</w:t>
            </w:r>
          </w:p>
        </w:tc>
      </w:tr>
      <w:tr w14:paraId="57BF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266B738">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EA2BA">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58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EA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4号琼脂细菌干粉培养基系列</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60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9C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0.34</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6F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D9A5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255</w:t>
            </w:r>
          </w:p>
        </w:tc>
      </w:tr>
      <w:tr w14:paraId="41F48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84A3C3D">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59339">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CB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4D3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麦康凯琼脂培养基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F2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FD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78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8C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56</w:t>
            </w:r>
          </w:p>
        </w:tc>
      </w:tr>
      <w:tr w14:paraId="2D6B4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78385057">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7E4E3">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F5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49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克氏双糖铁琼脂细菌干粉培养基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36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D5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6C4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FAA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54</w:t>
            </w:r>
          </w:p>
        </w:tc>
      </w:tr>
      <w:tr w14:paraId="0DFBC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04D62E1D">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D023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4B2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7C9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抗酸染色液（冷染法）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BF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D21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74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A7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r>
      <w:tr w14:paraId="3ABF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3741D0D">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C5270">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78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36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革兰氏染色液（快速法）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85D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E5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A16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9A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r>
      <w:tr w14:paraId="1B44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33D1DD0">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67531">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572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A9C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淋球菌培养基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62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FE1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CB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53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w:t>
            </w:r>
          </w:p>
        </w:tc>
      </w:tr>
      <w:tr w14:paraId="1AC0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9B95AD0">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EA8BA">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0DC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D2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哥伦比亚血琼脂培养基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EC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28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62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75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w:t>
            </w:r>
          </w:p>
        </w:tc>
      </w:tr>
      <w:tr w14:paraId="58845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160662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5FA70">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F77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36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沙眼衣原体抗原检测试剂盒（乳胶免疫层析法）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41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28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7.25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65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B7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580</w:t>
            </w:r>
          </w:p>
        </w:tc>
      </w:tr>
      <w:tr w14:paraId="08473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BAA667C">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28173">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B33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9F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营养琼脂培养基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5EA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B4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0.32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A2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52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1200</w:t>
            </w:r>
          </w:p>
        </w:tc>
      </w:tr>
      <w:tr w14:paraId="3C7F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264FA29">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BB2C7">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9EA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433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罗氏培养管（微生物即用培养基）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4E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3F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CE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2A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700</w:t>
            </w:r>
          </w:p>
        </w:tc>
      </w:tr>
      <w:tr w14:paraId="091B4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E721E6D">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9AE1">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40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2F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SS琼脂培养基细菌干粉培养基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90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F3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2C1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BF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1500</w:t>
            </w:r>
          </w:p>
        </w:tc>
      </w:tr>
      <w:tr w14:paraId="3DD0D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654EEBF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EF183">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ED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2D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碱性蛋白胨水培养基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E4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14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C07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0F0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w:t>
            </w:r>
          </w:p>
        </w:tc>
      </w:tr>
      <w:tr w14:paraId="1FF3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0E88B3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257DE">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44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13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氯化钠结晶紫增菌液细菌干粉培养基系列</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E6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AF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2B1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DD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w:t>
            </w:r>
          </w:p>
        </w:tc>
      </w:tr>
      <w:tr w14:paraId="7FDC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48AFEF30">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B958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57A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4C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亚硒酸盐胱氨酸增菌液细菌干粉培养基系列</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8DB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11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0.78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806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FEB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390</w:t>
            </w:r>
          </w:p>
        </w:tc>
      </w:tr>
      <w:tr w14:paraId="3D699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C5F258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98D49">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08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20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亚硒酸盐增菌液细菌干粉培养基系列</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C4E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95E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0.816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E1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03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408</w:t>
            </w:r>
          </w:p>
        </w:tc>
      </w:tr>
      <w:tr w14:paraId="6A82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8C4C0A8">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C95D9">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F4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D7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结核分枝杆菌IgG抗体检测试剂盒(胶体金法)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95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人份</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ED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9A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9D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3750</w:t>
            </w:r>
          </w:p>
        </w:tc>
      </w:tr>
      <w:tr w14:paraId="7A19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DA5336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8E0C">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B9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501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沙保罗氏琼脂细菌干粉培养基</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7C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8E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0.45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DC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C0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225</w:t>
            </w:r>
          </w:p>
        </w:tc>
      </w:tr>
      <w:tr w14:paraId="2A023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FC9FCD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52D20">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3C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92B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一次性接种环</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93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支</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911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72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5B1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2000</w:t>
            </w:r>
          </w:p>
        </w:tc>
      </w:tr>
      <w:tr w14:paraId="74B86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793E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D487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流式细胞补充试剂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0E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E4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CD38-APC-A750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1B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B3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BB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F9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35000</w:t>
            </w:r>
          </w:p>
        </w:tc>
      </w:tr>
      <w:tr w14:paraId="34298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CCEBC">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32CD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5C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88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HLA-B27 /HLA-B7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F3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E7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54</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196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A9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27000</w:t>
            </w:r>
          </w:p>
        </w:tc>
      </w:tr>
      <w:tr w14:paraId="7E27F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1E7A2">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C24A7">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D43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E3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CD5-PC7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21B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72F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53.07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8C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CD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26535</w:t>
            </w:r>
          </w:p>
        </w:tc>
      </w:tr>
      <w:tr w14:paraId="7EEC6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98BA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654F7">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01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107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淋巴细胞质控品 </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B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F7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75.83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93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7A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22749</w:t>
            </w:r>
          </w:p>
        </w:tc>
      </w:tr>
      <w:tr w14:paraId="7CA4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738" w:type="dxa"/>
            <w:vMerge w:val="restart"/>
            <w:tcBorders>
              <w:top w:val="single" w:color="000000" w:sz="4" w:space="0"/>
              <w:left w:val="single" w:color="000000" w:sz="4" w:space="0"/>
              <w:bottom w:val="nil"/>
              <w:right w:val="single" w:color="000000" w:sz="4" w:space="0"/>
            </w:tcBorders>
            <w:shd w:val="clear" w:color="auto" w:fill="auto"/>
            <w:vAlign w:val="center"/>
          </w:tcPr>
          <w:p w14:paraId="672BF7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1765" w:type="dxa"/>
            <w:vMerge w:val="restart"/>
            <w:tcBorders>
              <w:top w:val="single" w:color="000000" w:sz="4" w:space="0"/>
              <w:left w:val="single" w:color="000000" w:sz="4" w:space="0"/>
              <w:bottom w:val="nil"/>
              <w:right w:val="single" w:color="000000" w:sz="4" w:space="0"/>
            </w:tcBorders>
            <w:shd w:val="clear" w:color="auto" w:fill="auto"/>
            <w:vAlign w:val="center"/>
          </w:tcPr>
          <w:p w14:paraId="4C96351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微生物药敏及鉴定卡</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5FB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3A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VITEK2样本稀释液</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88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瓶</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1A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5FD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77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7500</w:t>
            </w:r>
          </w:p>
        </w:tc>
      </w:tr>
      <w:tr w14:paraId="710C0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914CA2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nil"/>
              <w:right w:val="single" w:color="000000" w:sz="4" w:space="0"/>
            </w:tcBorders>
            <w:shd w:val="clear" w:color="auto" w:fill="auto"/>
            <w:vAlign w:val="center"/>
          </w:tcPr>
          <w:p w14:paraId="612A6351">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29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49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革兰氏阴性细菌鉴定卡</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9E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3B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99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5B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16800</w:t>
            </w:r>
          </w:p>
        </w:tc>
      </w:tr>
      <w:tr w14:paraId="21C53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6C5185C">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nil"/>
              <w:right w:val="single" w:color="000000" w:sz="4" w:space="0"/>
            </w:tcBorders>
            <w:shd w:val="clear" w:color="auto" w:fill="auto"/>
            <w:vAlign w:val="center"/>
          </w:tcPr>
          <w:p w14:paraId="67052499">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68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BF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革兰氏阳性细菌鉴定卡</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2E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D4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B6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44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8400</w:t>
            </w:r>
          </w:p>
        </w:tc>
      </w:tr>
      <w:tr w14:paraId="4F4D6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8974B46">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nil"/>
              <w:right w:val="single" w:color="000000" w:sz="4" w:space="0"/>
            </w:tcBorders>
            <w:shd w:val="clear" w:color="auto" w:fill="auto"/>
            <w:vAlign w:val="center"/>
          </w:tcPr>
          <w:p w14:paraId="148C2FDA">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623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9C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革兰氏阳性细菌药敏卡片 (AST-GP67)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FF0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FB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C59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E5D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34000</w:t>
            </w:r>
          </w:p>
        </w:tc>
      </w:tr>
      <w:tr w14:paraId="6077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728102E">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nil"/>
              <w:right w:val="single" w:color="000000" w:sz="4" w:space="0"/>
            </w:tcBorders>
            <w:shd w:val="clear" w:color="auto" w:fill="auto"/>
            <w:vAlign w:val="center"/>
          </w:tcPr>
          <w:p w14:paraId="5FF3AA2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9F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3F0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酵母菌鉴定卡VITEK2 YST Test Kit</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89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42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EB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3A0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840</w:t>
            </w:r>
          </w:p>
        </w:tc>
      </w:tr>
      <w:tr w14:paraId="0ACC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FFFE42D">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nil"/>
              <w:right w:val="single" w:color="000000" w:sz="4" w:space="0"/>
            </w:tcBorders>
            <w:shd w:val="clear" w:color="auto" w:fill="auto"/>
            <w:vAlign w:val="center"/>
          </w:tcPr>
          <w:p w14:paraId="4C419952">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ACB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DBC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奈瑟菌、嗜血杆菌鉴定卡 VITEK2 NH</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71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B6B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C8A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BE8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840</w:t>
            </w:r>
          </w:p>
        </w:tc>
      </w:tr>
      <w:tr w14:paraId="4F02F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restart"/>
            <w:tcBorders>
              <w:top w:val="single" w:color="000000" w:sz="4" w:space="0"/>
              <w:left w:val="single" w:color="000000" w:sz="4" w:space="0"/>
              <w:bottom w:val="nil"/>
              <w:right w:val="single" w:color="000000" w:sz="4" w:space="0"/>
            </w:tcBorders>
            <w:shd w:val="clear" w:color="auto" w:fill="auto"/>
            <w:vAlign w:val="center"/>
          </w:tcPr>
          <w:p w14:paraId="416FD9F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23AC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免疫肿瘤、乙肝、甲状腺功能</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F3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F1F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癌抗原15-3测定试剂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85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B8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DE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7D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360000</w:t>
            </w:r>
          </w:p>
        </w:tc>
      </w:tr>
      <w:tr w14:paraId="394E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79EE810">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3DD42">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D0FC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B3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癌抗原125测定试剂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FBF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62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2A5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C1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448000</w:t>
            </w:r>
          </w:p>
        </w:tc>
      </w:tr>
      <w:tr w14:paraId="016C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7E475CA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2E87D">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876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64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糖类抗原19-9测定试剂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E6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CA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9F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33500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2E4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536000</w:t>
            </w:r>
          </w:p>
        </w:tc>
      </w:tr>
      <w:tr w14:paraId="493C3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D79001A">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914D0">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C37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DE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细胞角蛋白19片段测定试剂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086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D6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2A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CE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500000</w:t>
            </w:r>
          </w:p>
        </w:tc>
      </w:tr>
      <w:tr w14:paraId="598BE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7C46084">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DCAA3">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C35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C54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铁蛋白测定试剂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F98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A70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0F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6D5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224000</w:t>
            </w:r>
          </w:p>
        </w:tc>
      </w:tr>
      <w:tr w14:paraId="6019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FAA3C4A">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507A8">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838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75D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癌胚抗原测定试剂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56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3F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1E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32000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6FE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256000</w:t>
            </w:r>
          </w:p>
        </w:tc>
      </w:tr>
      <w:tr w14:paraId="76593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40E21D12">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31A43">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AC2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FA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甲胎蛋白测定试剂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11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83D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5D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46000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74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368000</w:t>
            </w:r>
          </w:p>
        </w:tc>
      </w:tr>
      <w:tr w14:paraId="74EEA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1967CF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29419">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66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74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总前列腺特异性抗原测定试剂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B19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7E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960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09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224000</w:t>
            </w:r>
          </w:p>
        </w:tc>
      </w:tr>
      <w:tr w14:paraId="03FD8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6E4C57F0">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C795F">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F2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9</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84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鳞状上皮细胞癌抗原测定试剂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DD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1A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821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26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384000</w:t>
            </w:r>
          </w:p>
        </w:tc>
      </w:tr>
      <w:tr w14:paraId="41B5A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69EF782">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BF92F">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50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D02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总β人绒毛膜促性腺激素测定试剂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F7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E6C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BF7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6D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150500</w:t>
            </w:r>
          </w:p>
        </w:tc>
      </w:tr>
      <w:tr w14:paraId="48E20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D1281CE">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F458D">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EAD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BE3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胃泌素释放肽前体测定试剂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70C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AD4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FD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BD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18000</w:t>
            </w:r>
          </w:p>
        </w:tc>
      </w:tr>
      <w:tr w14:paraId="46B95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B1BBB12">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05E1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94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FB7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乙型肝炎病毒e抗原测定试剂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6D7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431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896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12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152000</w:t>
            </w:r>
          </w:p>
        </w:tc>
      </w:tr>
      <w:tr w14:paraId="7CBA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66CC0335">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B237A">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B1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DA2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乙型肝炎病毒e抗体测定试剂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D487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057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A6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0E8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144000</w:t>
            </w:r>
          </w:p>
        </w:tc>
      </w:tr>
      <w:tr w14:paraId="26AA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4A1E906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AB4D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945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32A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乙型肝炎病毒核心抗体IgM测定试剂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3E6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9C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D3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43D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400000</w:t>
            </w:r>
          </w:p>
        </w:tc>
      </w:tr>
      <w:tr w14:paraId="79C9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DEDC6EC">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23545">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6AE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74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乙型肝炎病毒表面抗原测定试剂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9FC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1B5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473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E13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380000</w:t>
            </w:r>
          </w:p>
        </w:tc>
      </w:tr>
      <w:tr w14:paraId="6B7A1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3CA7A78">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A0194">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6A8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E8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乙型肝炎病毒表面抗体测定试剂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78E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5A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BD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5E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195000</w:t>
            </w:r>
          </w:p>
        </w:tc>
      </w:tr>
      <w:tr w14:paraId="0092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287B510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4601F">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9B1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79A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甲状腺过氧化物酶抗体测定试剂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CC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A64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00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16800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5C9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193200</w:t>
            </w:r>
          </w:p>
        </w:tc>
      </w:tr>
      <w:tr w14:paraId="633CB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E2D3B7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7F615">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B9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18</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CB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甲状腺球蛋白抗体测定试剂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73B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E9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A7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E4E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174800</w:t>
            </w:r>
          </w:p>
        </w:tc>
      </w:tr>
      <w:tr w14:paraId="0226A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00B86529">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B8328">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70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C1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游离甲状腺素测定试剂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BE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5D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23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B8B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192000</w:t>
            </w:r>
          </w:p>
        </w:tc>
      </w:tr>
      <w:tr w14:paraId="3A363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163378E0">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81D52">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244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FF0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游离三碘甲状腺原氨酸测定试剂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61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CC9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F8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0F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224000</w:t>
            </w:r>
          </w:p>
        </w:tc>
      </w:tr>
      <w:tr w14:paraId="529A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6FDC00D6">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BD338">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200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89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总三碘甲状腺原氨酸测定试剂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137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586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454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D0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225000</w:t>
            </w:r>
          </w:p>
        </w:tc>
      </w:tr>
      <w:tr w14:paraId="0D29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6BF6C04A">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62B12">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B5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42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总甲状腺素测定试剂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CB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112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9B5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82A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210000</w:t>
            </w:r>
          </w:p>
        </w:tc>
      </w:tr>
      <w:tr w14:paraId="3DC8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739553E">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ADE92">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21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0D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促甲状腺激素测定试剂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B4E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D78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46E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F9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208000</w:t>
            </w:r>
          </w:p>
        </w:tc>
      </w:tr>
      <w:tr w14:paraId="745B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A082F96">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B0EE8">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5A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65C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维生素B12测定试剂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7DF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22C1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29E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1EB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16800</w:t>
            </w:r>
          </w:p>
        </w:tc>
      </w:tr>
      <w:tr w14:paraId="52E1A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0F53BE91">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DE143">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348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3EE4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叶酸测定试剂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FC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0C0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A3A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C77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14000</w:t>
            </w:r>
          </w:p>
        </w:tc>
      </w:tr>
      <w:tr w14:paraId="58C9A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086C416F">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E00DA">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4A6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A00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B-型尿钠肽测定试剂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AC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DF5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61E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4B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580000</w:t>
            </w:r>
          </w:p>
        </w:tc>
      </w:tr>
      <w:tr w14:paraId="373FB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3F39FAA7">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47C65">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F8F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CC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高敏肌钙蛋白-I测定试剂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9CF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48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404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455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242000</w:t>
            </w:r>
          </w:p>
        </w:tc>
      </w:tr>
      <w:tr w14:paraId="6ACC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E36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F7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血流变分析仪</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C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5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ZLC（Z1）清洗液</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F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B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3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1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5700</w:t>
            </w:r>
          </w:p>
        </w:tc>
      </w:tr>
      <w:tr w14:paraId="37B8A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8014A">
            <w:pPr>
              <w:jc w:val="center"/>
              <w:rPr>
                <w:rFonts w:hint="eastAsia" w:ascii="宋体" w:hAnsi="宋体" w:eastAsia="宋体" w:cs="宋体"/>
                <w:i w:val="0"/>
                <w:iCs w:val="0"/>
                <w:color w:val="000000"/>
                <w:sz w:val="18"/>
                <w:szCs w:val="18"/>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73CD7">
            <w:pPr>
              <w:jc w:val="center"/>
              <w:rPr>
                <w:rFonts w:hint="eastAsia" w:ascii="宋体" w:hAnsi="宋体" w:eastAsia="宋体" w:cs="宋体"/>
                <w:i w:val="0"/>
                <w:iCs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8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8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ZLC（Z2）清洗液</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6B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5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19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7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w:t>
            </w:r>
          </w:p>
        </w:tc>
      </w:tr>
      <w:tr w14:paraId="54B55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EADFE">
            <w:pPr>
              <w:jc w:val="center"/>
              <w:rPr>
                <w:rFonts w:hint="eastAsia" w:ascii="宋体" w:hAnsi="宋体" w:eastAsia="宋体" w:cs="宋体"/>
                <w:i w:val="0"/>
                <w:iCs w:val="0"/>
                <w:color w:val="000000"/>
                <w:sz w:val="18"/>
                <w:szCs w:val="18"/>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F85A5">
            <w:pPr>
              <w:jc w:val="center"/>
              <w:rPr>
                <w:rFonts w:hint="eastAsia" w:ascii="宋体" w:hAnsi="宋体" w:eastAsia="宋体" w:cs="宋体"/>
                <w:i w:val="0"/>
                <w:iCs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F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8B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非牛顿流体质控物</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2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F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69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8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3550</w:t>
            </w:r>
          </w:p>
        </w:tc>
      </w:tr>
      <w:tr w14:paraId="5DB7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AB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11</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17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血气测定试剂盒(昌安检验及麻醉）</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64A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489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血气测定试剂盒（电极法）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ACD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人份</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5A1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D1C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2250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BA4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81000</w:t>
            </w:r>
          </w:p>
        </w:tc>
      </w:tr>
      <w:tr w14:paraId="19E4A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8C3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56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大便常规试剂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D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1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大便常规稀释液</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B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桶</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6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33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F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68400</w:t>
            </w:r>
          </w:p>
        </w:tc>
      </w:tr>
      <w:tr w14:paraId="4638F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5F66">
            <w:pPr>
              <w:jc w:val="center"/>
              <w:rPr>
                <w:rFonts w:hint="eastAsia" w:ascii="宋体" w:hAnsi="宋体" w:eastAsia="宋体" w:cs="宋体"/>
                <w:i w:val="0"/>
                <w:iCs w:val="0"/>
                <w:color w:val="000000"/>
                <w:sz w:val="18"/>
                <w:szCs w:val="18"/>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6C336">
            <w:pPr>
              <w:jc w:val="center"/>
              <w:rPr>
                <w:rFonts w:hint="eastAsia" w:ascii="宋体" w:hAnsi="宋体" w:eastAsia="宋体" w:cs="宋体"/>
                <w:i w:val="0"/>
                <w:iCs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4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8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大便隐血(FOB)检测试剂盒(胶体金法)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E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D0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BF2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D3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28800</w:t>
            </w:r>
          </w:p>
        </w:tc>
      </w:tr>
      <w:tr w14:paraId="1ED71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F2E97">
            <w:pPr>
              <w:jc w:val="center"/>
              <w:rPr>
                <w:rFonts w:hint="eastAsia" w:ascii="宋体" w:hAnsi="宋体" w:eastAsia="宋体" w:cs="宋体"/>
                <w:i w:val="0"/>
                <w:iCs w:val="0"/>
                <w:color w:val="000000"/>
                <w:sz w:val="18"/>
                <w:szCs w:val="18"/>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E0CEE">
            <w:pPr>
              <w:jc w:val="center"/>
              <w:rPr>
                <w:rFonts w:hint="eastAsia" w:ascii="宋体" w:hAnsi="宋体" w:eastAsia="宋体" w:cs="宋体"/>
                <w:i w:val="0"/>
                <w:iCs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9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45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A群轮状病毒抗原检测试剂盒（胶体金法）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0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7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4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2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r>
      <w:tr w14:paraId="1D517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F02D7">
            <w:pPr>
              <w:jc w:val="center"/>
              <w:rPr>
                <w:rFonts w:hint="eastAsia" w:ascii="宋体" w:hAnsi="宋体" w:eastAsia="宋体" w:cs="宋体"/>
                <w:i w:val="0"/>
                <w:iCs w:val="0"/>
                <w:color w:val="000000"/>
                <w:sz w:val="18"/>
                <w:szCs w:val="18"/>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A6AED">
            <w:pPr>
              <w:jc w:val="center"/>
              <w:rPr>
                <w:rFonts w:hint="eastAsia" w:ascii="宋体" w:hAnsi="宋体" w:eastAsia="宋体" w:cs="宋体"/>
                <w:i w:val="0"/>
                <w:iCs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3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F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轮状病毒、腺病毒抗原检测试剂盒（胶体金法）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2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C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E1C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2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w:t>
            </w:r>
          </w:p>
        </w:tc>
      </w:tr>
      <w:tr w14:paraId="7318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1C483">
            <w:pPr>
              <w:jc w:val="center"/>
              <w:rPr>
                <w:rFonts w:hint="eastAsia" w:ascii="宋体" w:hAnsi="宋体" w:eastAsia="宋体" w:cs="宋体"/>
                <w:i w:val="0"/>
                <w:iCs w:val="0"/>
                <w:color w:val="000000"/>
                <w:sz w:val="18"/>
                <w:szCs w:val="18"/>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0A1F7">
            <w:pPr>
              <w:jc w:val="center"/>
              <w:rPr>
                <w:rFonts w:hint="eastAsia" w:ascii="宋体" w:hAnsi="宋体" w:eastAsia="宋体" w:cs="宋体"/>
                <w:i w:val="0"/>
                <w:iCs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4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D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标本收集杯</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6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0D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2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8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75400</w:t>
            </w:r>
          </w:p>
        </w:tc>
      </w:tr>
      <w:tr w14:paraId="6F44A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8" w:type="dxa"/>
            <w:vMerge w:val="restart"/>
            <w:tcBorders>
              <w:top w:val="single" w:color="000000" w:sz="4" w:space="0"/>
              <w:left w:val="single" w:color="000000" w:sz="4" w:space="0"/>
              <w:bottom w:val="nil"/>
              <w:right w:val="single" w:color="000000" w:sz="4" w:space="0"/>
            </w:tcBorders>
            <w:shd w:val="clear" w:color="auto" w:fill="auto"/>
            <w:vAlign w:val="center"/>
          </w:tcPr>
          <w:p w14:paraId="3111CF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16</w:t>
            </w:r>
          </w:p>
        </w:tc>
        <w:tc>
          <w:tcPr>
            <w:tcW w:w="1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6A5D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凝血五项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586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72E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D-二聚体测定试剂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BB89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53C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DA8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90D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1020000</w:t>
            </w:r>
          </w:p>
        </w:tc>
      </w:tr>
      <w:tr w14:paraId="0CA5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6148DC86">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4C506">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3B2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2C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凝血酶原时间测定试剂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99F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415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30E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A7F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60000</w:t>
            </w:r>
          </w:p>
        </w:tc>
      </w:tr>
      <w:tr w14:paraId="0F6A6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0E1D21DB">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38149">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0C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BC2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纤维蛋白原测定试剂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2A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3C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99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66000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D0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132000</w:t>
            </w:r>
          </w:p>
        </w:tc>
      </w:tr>
      <w:tr w14:paraId="1330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409BF117">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2E1C5">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7C0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99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活化部分凝血活酶时间测定试剂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F9B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F36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A55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15110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E8F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7555</w:t>
            </w:r>
          </w:p>
        </w:tc>
      </w:tr>
      <w:tr w14:paraId="46E7B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738" w:type="dxa"/>
            <w:vMerge w:val="continue"/>
            <w:tcBorders>
              <w:top w:val="single" w:color="000000" w:sz="4" w:space="0"/>
              <w:left w:val="single" w:color="000000" w:sz="4" w:space="0"/>
              <w:bottom w:val="nil"/>
              <w:right w:val="single" w:color="000000" w:sz="4" w:space="0"/>
            </w:tcBorders>
            <w:shd w:val="clear" w:color="auto" w:fill="auto"/>
            <w:vAlign w:val="center"/>
          </w:tcPr>
          <w:p w14:paraId="52833145">
            <w:pPr>
              <w:jc w:val="center"/>
              <w:rPr>
                <w:rFonts w:hint="eastAsia" w:ascii="宋体" w:hAnsi="宋体" w:eastAsia="宋体" w:cs="宋体"/>
                <w:i w:val="0"/>
                <w:iCs w:val="0"/>
                <w:color w:val="000000"/>
                <w:sz w:val="18"/>
                <w:szCs w:val="18"/>
                <w:highlight w:val="none"/>
                <w:u w:val="none"/>
              </w:rPr>
            </w:pPr>
          </w:p>
        </w:tc>
        <w:tc>
          <w:tcPr>
            <w:tcW w:w="1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CEE1D">
            <w:pPr>
              <w:jc w:val="center"/>
              <w:rPr>
                <w:rFonts w:hint="eastAsia" w:ascii="宋体" w:hAnsi="宋体" w:eastAsia="宋体" w:cs="宋体"/>
                <w:i w:val="0"/>
                <w:iCs w:val="0"/>
                <w:color w:val="000000"/>
                <w:sz w:val="18"/>
                <w:szCs w:val="18"/>
                <w:highlight w:val="none"/>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DF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B58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凝血酶时间测定试剂</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9F7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A1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0.77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A29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59000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629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45430</w:t>
            </w:r>
          </w:p>
        </w:tc>
      </w:tr>
      <w:tr w14:paraId="2DE4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3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5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丙型肝炎病毒(HCV)核酸定量测定试剂盒</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9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A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丙型肝炎病毒(HCV)核酸定量测定试剂盒（荧光PCR法）</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79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C74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cs="宋体"/>
                <w:i w:val="0"/>
                <w:iCs w:val="0"/>
                <w:color w:val="000000"/>
                <w:kern w:val="0"/>
                <w:sz w:val="18"/>
                <w:szCs w:val="18"/>
                <w:u w:val="none"/>
                <w:lang w:val="en-US" w:eastAsia="zh-CN" w:bidi="ar"/>
              </w:rPr>
              <w:t>34.07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8C3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135</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9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4600</w:t>
            </w:r>
          </w:p>
        </w:tc>
      </w:tr>
      <w:tr w14:paraId="71AEB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C45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9DA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凝聚胺介质试剂</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A94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9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150测试/盒</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C1A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盒</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B77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250</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B8B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30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52C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7500</w:t>
            </w:r>
          </w:p>
        </w:tc>
      </w:tr>
      <w:tr w14:paraId="2CA51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restart"/>
            <w:tcBorders>
              <w:top w:val="single" w:color="000000" w:sz="4" w:space="0"/>
              <w:left w:val="single" w:color="000000" w:sz="4" w:space="0"/>
              <w:right w:val="single" w:color="000000" w:sz="4" w:space="0"/>
            </w:tcBorders>
            <w:shd w:val="clear" w:color="auto" w:fill="auto"/>
            <w:vAlign w:val="center"/>
          </w:tcPr>
          <w:p w14:paraId="18B3AF33">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29</w:t>
            </w:r>
          </w:p>
        </w:tc>
        <w:tc>
          <w:tcPr>
            <w:tcW w:w="1765" w:type="dxa"/>
            <w:vMerge w:val="restart"/>
            <w:tcBorders>
              <w:top w:val="single" w:color="000000" w:sz="4" w:space="0"/>
              <w:left w:val="single" w:color="000000" w:sz="4" w:space="0"/>
              <w:right w:val="single" w:color="000000" w:sz="4" w:space="0"/>
            </w:tcBorders>
            <w:shd w:val="clear" w:color="auto" w:fill="auto"/>
            <w:vAlign w:val="center"/>
          </w:tcPr>
          <w:p w14:paraId="3A99C7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生化常规21项</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29E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FD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总蛋白</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A65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365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077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9B4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37800</w:t>
            </w:r>
          </w:p>
        </w:tc>
      </w:tr>
      <w:tr w14:paraId="2469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2AB201FE">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6E6ACB7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50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C8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白蛋白</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0DD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43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39A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C6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63000</w:t>
            </w:r>
          </w:p>
        </w:tc>
      </w:tr>
      <w:tr w14:paraId="77C3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726A2ECE">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5FEAA9B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714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FF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天门冬氨酸氨基转移酶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9F9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9D6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A74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08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52500</w:t>
            </w:r>
          </w:p>
        </w:tc>
      </w:tr>
      <w:tr w14:paraId="58ADA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6961F644">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575F0E4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57E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D3C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丙氨酸氨基转移酶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72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E00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72F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35000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250C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52500</w:t>
            </w:r>
          </w:p>
        </w:tc>
      </w:tr>
      <w:tr w14:paraId="1292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15E6E42F">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27904BE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6525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82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碱性磷酸酶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9E1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4C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136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76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55650</w:t>
            </w:r>
          </w:p>
        </w:tc>
      </w:tr>
      <w:tr w14:paraId="31E0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68D76F07">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3ED8160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4C8A">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EF9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γ-谷氨酰基转移酶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BEAC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AFD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82C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230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D3F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414</w:t>
            </w:r>
          </w:p>
        </w:tc>
      </w:tr>
      <w:tr w14:paraId="16F58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152377B8">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382F209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277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918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乳酸脱氢酶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1CB0">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33B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F9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817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105000</w:t>
            </w:r>
          </w:p>
        </w:tc>
      </w:tr>
      <w:tr w14:paraId="2AC63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6A57BA40">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1C8CD79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185F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5FB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α-淀粉酶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4A8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7AE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10.6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7AB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CF23">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44520</w:t>
            </w:r>
          </w:p>
        </w:tc>
      </w:tr>
      <w:tr w14:paraId="34981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72F3D75E">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29A6AB9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ABCD">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9</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1D6E">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肌酸激酶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3662">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765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A8532">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19200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6E35">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80640</w:t>
            </w:r>
          </w:p>
        </w:tc>
      </w:tr>
      <w:tr w14:paraId="4282F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0872CD35">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5D470C9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4B9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10</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C8E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总胆红素</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D97D3">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8356">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DD82">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26500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B121">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68900</w:t>
            </w:r>
          </w:p>
        </w:tc>
      </w:tr>
      <w:tr w14:paraId="006D0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317CF6E8">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08C8E6F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8641">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B74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直接胆红素</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6689">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38DF">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2.6</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688E5">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19500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11C1">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50700</w:t>
            </w:r>
          </w:p>
        </w:tc>
      </w:tr>
      <w:tr w14:paraId="40684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2262942B">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2FFB8B42">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F707">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12</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F8335">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总胆固醇</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907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4F43">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1.2</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030C">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21000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BF8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25200</w:t>
            </w:r>
          </w:p>
        </w:tc>
      </w:tr>
      <w:tr w14:paraId="3C68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491699BD">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71E11B0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52D7">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13</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27AD">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甘油三酯</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84B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F717">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2.9</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848D">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21000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3E5B">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60900</w:t>
            </w:r>
          </w:p>
        </w:tc>
      </w:tr>
      <w:tr w14:paraId="3BEEE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3B29D516">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7E93EC0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B81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14</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0F1B">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高密度脂蛋白胆固醇</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A3C5">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15B7">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2.4</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166A">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804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720</w:t>
            </w:r>
          </w:p>
        </w:tc>
      </w:tr>
      <w:tr w14:paraId="2BCDA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0E73E1F9">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2250EF1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214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15</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029B">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尿酸</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5BA5">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E86D">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D0D0">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24500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147A">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56350</w:t>
            </w:r>
          </w:p>
        </w:tc>
      </w:tr>
      <w:tr w14:paraId="6E997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5F452613">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6B029EC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1C05">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16</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E41B">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尿素氮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A892">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BDB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3.5</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7467">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4300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C1C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15050</w:t>
            </w:r>
          </w:p>
        </w:tc>
      </w:tr>
      <w:tr w14:paraId="40A1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2D325344">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478FE71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9841">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17</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4752">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肌酐</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9B1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0DF4">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0FD8">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13750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7E5A">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55000</w:t>
            </w:r>
          </w:p>
        </w:tc>
      </w:tr>
      <w:tr w14:paraId="6323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0C268CBE">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0CA37CEC">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A8FA">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18</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56D7">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镁离子</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FAB6">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9F4B">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2.83</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5670">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14200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314D">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40186</w:t>
            </w:r>
          </w:p>
        </w:tc>
      </w:tr>
      <w:tr w14:paraId="03121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503B62A2">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46D5BC3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96DA">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19</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89D0">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无机磷</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A003">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CABE">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5.4</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708E">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8000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391B">
            <w:pPr>
              <w:keepNext w:val="0"/>
              <w:keepLines w:val="0"/>
              <w:widowControl/>
              <w:suppressLineNumbers w:val="0"/>
              <w:jc w:val="center"/>
              <w:textAlignment w:val="center"/>
              <w:rPr>
                <w:rFonts w:hint="eastAsia" w:ascii="宋体" w:hAnsi="宋体" w:eastAsia="宋体" w:cs="宋体"/>
                <w:b w:val="0"/>
                <w:bCs w:val="0"/>
                <w:i w:val="0"/>
                <w:iCs w:val="0"/>
                <w:color w:val="auto"/>
                <w:kern w:val="2"/>
                <w:sz w:val="18"/>
                <w:szCs w:val="18"/>
                <w:u w:val="none"/>
                <w:lang w:val="en-US" w:eastAsia="zh-CN" w:bidi="ar-SA"/>
              </w:rPr>
            </w:pPr>
            <w:r>
              <w:rPr>
                <w:rFonts w:hint="eastAsia" w:ascii="宋体" w:hAnsi="宋体" w:eastAsia="宋体" w:cs="宋体"/>
                <w:b w:val="0"/>
                <w:bCs w:val="0"/>
                <w:i w:val="0"/>
                <w:iCs w:val="0"/>
                <w:color w:val="auto"/>
                <w:kern w:val="0"/>
                <w:sz w:val="18"/>
                <w:szCs w:val="18"/>
                <w:u w:val="none"/>
                <w:lang w:val="en-US" w:eastAsia="zh-CN" w:bidi="ar"/>
              </w:rPr>
              <w:t>43200</w:t>
            </w:r>
          </w:p>
        </w:tc>
      </w:tr>
      <w:tr w14:paraId="0711A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right w:val="single" w:color="000000" w:sz="4" w:space="0"/>
            </w:tcBorders>
            <w:shd w:val="clear" w:color="auto" w:fill="auto"/>
            <w:vAlign w:val="center"/>
          </w:tcPr>
          <w:p w14:paraId="33394973">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right w:val="single" w:color="000000" w:sz="4" w:space="0"/>
            </w:tcBorders>
            <w:shd w:val="clear" w:color="auto" w:fill="auto"/>
            <w:vAlign w:val="center"/>
          </w:tcPr>
          <w:p w14:paraId="3631CC1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2C3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20</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5DE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钙离子</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2B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EB2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7</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A03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3760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01E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26320</w:t>
            </w:r>
          </w:p>
        </w:tc>
      </w:tr>
      <w:tr w14:paraId="2FF6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38" w:type="dxa"/>
            <w:vMerge w:val="continue"/>
            <w:tcBorders>
              <w:left w:val="single" w:color="000000" w:sz="4" w:space="0"/>
              <w:bottom w:val="single" w:color="000000" w:sz="4" w:space="0"/>
              <w:right w:val="single" w:color="000000" w:sz="4" w:space="0"/>
            </w:tcBorders>
            <w:shd w:val="clear" w:color="auto" w:fill="auto"/>
            <w:vAlign w:val="center"/>
          </w:tcPr>
          <w:p w14:paraId="2484C4DF">
            <w:pPr>
              <w:jc w:val="center"/>
              <w:rPr>
                <w:rFonts w:hint="eastAsia" w:ascii="宋体" w:hAnsi="宋体" w:cs="宋体"/>
                <w:i w:val="0"/>
                <w:iCs w:val="0"/>
                <w:color w:val="000000"/>
                <w:sz w:val="18"/>
                <w:szCs w:val="18"/>
                <w:u w:val="none"/>
                <w:lang w:val="en-US" w:eastAsia="zh-CN"/>
              </w:rPr>
            </w:pPr>
          </w:p>
        </w:tc>
        <w:tc>
          <w:tcPr>
            <w:tcW w:w="1765" w:type="dxa"/>
            <w:vMerge w:val="continue"/>
            <w:tcBorders>
              <w:left w:val="single" w:color="000000" w:sz="4" w:space="0"/>
              <w:bottom w:val="single" w:color="000000" w:sz="4" w:space="0"/>
              <w:right w:val="single" w:color="000000" w:sz="4" w:space="0"/>
            </w:tcBorders>
            <w:shd w:val="clear" w:color="auto" w:fill="auto"/>
            <w:vAlign w:val="center"/>
          </w:tcPr>
          <w:p w14:paraId="518C68D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14D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21</w:t>
            </w:r>
          </w:p>
        </w:tc>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BA9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葡萄糖</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C30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ml</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A6B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6.8</w:t>
            </w:r>
          </w:p>
        </w:tc>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EE06">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5000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367C">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34000</w:t>
            </w:r>
          </w:p>
        </w:tc>
      </w:tr>
    </w:tbl>
    <w:p w14:paraId="5800BB51">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合同期：</w:t>
      </w:r>
      <w:r>
        <w:rPr>
          <w:rFonts w:hint="eastAsia" w:ascii="仿宋" w:hAnsi="仿宋" w:eastAsia="仿宋"/>
          <w:b/>
          <w:color w:val="auto"/>
          <w:sz w:val="24"/>
          <w:lang w:val="en-US" w:eastAsia="zh-CN"/>
        </w:rPr>
        <w:t>1.5</w:t>
      </w:r>
      <w:r>
        <w:rPr>
          <w:rFonts w:hint="eastAsia" w:ascii="仿宋" w:hAnsi="仿宋" w:eastAsia="仿宋"/>
          <w:b/>
          <w:color w:val="auto"/>
          <w:sz w:val="24"/>
          <w:lang w:eastAsia="zh-CN"/>
        </w:rPr>
        <w:t>年</w:t>
      </w:r>
    </w:p>
    <w:p w14:paraId="293A9694">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二、参数要求</w:t>
      </w:r>
    </w:p>
    <w:tbl>
      <w:tblPr>
        <w:tblStyle w:val="2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0"/>
        <w:gridCol w:w="1022"/>
        <w:gridCol w:w="6999"/>
      </w:tblGrid>
      <w:tr w14:paraId="37ADE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C7C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标段序号</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46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标段名称</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B6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技术参数</w:t>
            </w:r>
          </w:p>
        </w:tc>
      </w:tr>
      <w:tr w14:paraId="64D2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9D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8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嗜血杆菌巧克力琼脂培养基（90mm)</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top"/>
          </w:tcPr>
          <w:p w14:paraId="2F3E75B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基本要求：                                                               1.用途/性能：能培养嗜血杆菌属细菌，用于苛养菌的分离培养。                          2.嗜血杆菌巧克力琼脂培养基（或不加抗生素/选择性）。                          </w:t>
            </w:r>
          </w:p>
          <w:p w14:paraId="79C9C72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3.培养基厚度≥ 4mm（不含器皿）（提供相关证明文件）。                                                              4.中标方使用前需完成并通过试剂性能验证。</w:t>
            </w:r>
          </w:p>
        </w:tc>
      </w:tr>
      <w:tr w14:paraId="55DE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0" w:hRule="atLeast"/>
        </w:trPr>
        <w:tc>
          <w:tcPr>
            <w:tcW w:w="1070" w:type="dxa"/>
            <w:tcBorders>
              <w:top w:val="single" w:color="000000" w:sz="4" w:space="0"/>
              <w:left w:val="single" w:color="000000" w:sz="4" w:space="0"/>
              <w:bottom w:val="single" w:color="auto" w:sz="4" w:space="0"/>
              <w:right w:val="single" w:color="000000" w:sz="4" w:space="0"/>
            </w:tcBorders>
            <w:shd w:val="clear" w:color="auto" w:fill="auto"/>
            <w:vAlign w:val="center"/>
          </w:tcPr>
          <w:p w14:paraId="3F5DE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22" w:type="dxa"/>
            <w:tcBorders>
              <w:top w:val="single" w:color="000000" w:sz="4" w:space="0"/>
              <w:left w:val="single" w:color="000000" w:sz="4" w:space="0"/>
              <w:bottom w:val="single" w:color="auto" w:sz="4" w:space="0"/>
              <w:right w:val="single" w:color="000000" w:sz="4" w:space="0"/>
            </w:tcBorders>
            <w:shd w:val="clear" w:color="auto" w:fill="auto"/>
            <w:vAlign w:val="center"/>
          </w:tcPr>
          <w:p w14:paraId="6D186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甲胎蛋白异质体比率（AFP-L3%）</w:t>
            </w:r>
          </w:p>
        </w:tc>
        <w:tc>
          <w:tcPr>
            <w:tcW w:w="6999" w:type="dxa"/>
            <w:tcBorders>
              <w:top w:val="single" w:color="000000" w:sz="4" w:space="0"/>
              <w:left w:val="single" w:color="000000" w:sz="4" w:space="0"/>
              <w:bottom w:val="single" w:color="auto" w:sz="4" w:space="0"/>
              <w:right w:val="single" w:color="000000" w:sz="4" w:space="0"/>
            </w:tcBorders>
            <w:shd w:val="clear" w:color="auto" w:fill="auto"/>
            <w:vAlign w:val="center"/>
          </w:tcPr>
          <w:p w14:paraId="14F30F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基本要求：</w:t>
            </w:r>
          </w:p>
          <w:p w14:paraId="3ECF49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提供配套设备1套，每年提供至少1次仪器校准并提供校准报告，提供项目配套质控品、校准品、耗材等，中标方使用前需完成并通过试剂性能验证。</w:t>
            </w:r>
          </w:p>
          <w:p w14:paraId="6E12D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                                                                       1.检测方法:采用化学发光法。                                                       2.精密度:批内变异系数CV应不高于10.0%，批间变异系数CV应不高于15.0%。(提供相关证明）                                                                            ▲4.空白检测限：  AFP：≤0.6ng/mL ，AFP-L3%:≤5% 。 (提供相关证明）                                                         5.溯源性：AFP校准品溯源至中国食品药品检定研究院AFP国家标准物质。 (提供相关证明）                                                                 6.AFP在0.8-1200 ng/mL范围内，相关系数(r)≥0.99。(提供相关证明）                                                 7.AFP-L3%在-5%-45%范围内，相关系数(r)≥0.99。 (提供相关证明）</w:t>
            </w:r>
          </w:p>
        </w:tc>
      </w:tr>
      <w:tr w14:paraId="71899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70" w:type="dxa"/>
            <w:tcBorders>
              <w:top w:val="single" w:color="auto" w:sz="4" w:space="0"/>
              <w:left w:val="single" w:color="auto" w:sz="4" w:space="0"/>
              <w:bottom w:val="single" w:color="auto" w:sz="4" w:space="0"/>
              <w:right w:val="single" w:color="000000" w:sz="4" w:space="0"/>
            </w:tcBorders>
            <w:shd w:val="clear" w:color="auto" w:fill="auto"/>
            <w:vAlign w:val="center"/>
          </w:tcPr>
          <w:p w14:paraId="76191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22" w:type="dxa"/>
            <w:tcBorders>
              <w:top w:val="single" w:color="auto" w:sz="4" w:space="0"/>
              <w:left w:val="single" w:color="000000" w:sz="4" w:space="0"/>
              <w:bottom w:val="single" w:color="auto" w:sz="4" w:space="0"/>
              <w:right w:val="single" w:color="000000" w:sz="4" w:space="0"/>
            </w:tcBorders>
            <w:shd w:val="clear" w:color="auto" w:fill="auto"/>
            <w:vAlign w:val="center"/>
          </w:tcPr>
          <w:p w14:paraId="162EA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微生物培养基、染液试剂</w:t>
            </w:r>
          </w:p>
        </w:tc>
        <w:tc>
          <w:tcPr>
            <w:tcW w:w="6999" w:type="dxa"/>
            <w:tcBorders>
              <w:top w:val="single" w:color="auto" w:sz="4" w:space="0"/>
              <w:left w:val="single" w:color="000000" w:sz="4" w:space="0"/>
              <w:bottom w:val="single" w:color="auto" w:sz="4" w:space="0"/>
              <w:right w:val="single" w:color="auto" w:sz="4" w:space="0"/>
            </w:tcBorders>
            <w:shd w:val="clear" w:color="auto" w:fill="auto"/>
            <w:vAlign w:val="center"/>
          </w:tcPr>
          <w:p w14:paraId="1534C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基本要求：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1.要求所以培养基培养平板尺寸90mm，除淋球菌琼脂平板为70mm 。 (提供相关证明）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2.培养基的有效期≥3个月。 (提供相关证明）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3.中标方使用前需完成并通过试剂性能验证。                                                        4.一次性接种环规格为10ul/支、1ul/支（提供样品）。</w:t>
            </w:r>
          </w:p>
        </w:tc>
      </w:tr>
      <w:tr w14:paraId="5F6B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70" w:type="dxa"/>
            <w:tcBorders>
              <w:top w:val="single" w:color="000000" w:sz="4" w:space="0"/>
              <w:left w:val="single" w:color="000000" w:sz="4" w:space="0"/>
              <w:bottom w:val="single" w:color="auto" w:sz="4" w:space="0"/>
              <w:right w:val="single" w:color="000000" w:sz="4" w:space="0"/>
            </w:tcBorders>
            <w:shd w:val="clear" w:color="auto" w:fill="auto"/>
            <w:vAlign w:val="center"/>
          </w:tcPr>
          <w:p w14:paraId="7AD3A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22" w:type="dxa"/>
            <w:tcBorders>
              <w:top w:val="single" w:color="000000" w:sz="4" w:space="0"/>
              <w:left w:val="single" w:color="000000" w:sz="4" w:space="0"/>
              <w:bottom w:val="single" w:color="auto" w:sz="4" w:space="0"/>
              <w:right w:val="single" w:color="000000" w:sz="4" w:space="0"/>
            </w:tcBorders>
            <w:shd w:val="clear" w:color="auto" w:fill="auto"/>
            <w:vAlign w:val="center"/>
          </w:tcPr>
          <w:p w14:paraId="26883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流式细胞补充试剂</w:t>
            </w:r>
          </w:p>
        </w:tc>
        <w:tc>
          <w:tcPr>
            <w:tcW w:w="6999" w:type="dxa"/>
            <w:tcBorders>
              <w:top w:val="single" w:color="000000" w:sz="4" w:space="0"/>
              <w:left w:val="single" w:color="000000" w:sz="4" w:space="0"/>
              <w:bottom w:val="single" w:color="auto" w:sz="4" w:space="0"/>
              <w:right w:val="single" w:color="000000" w:sz="4" w:space="0"/>
            </w:tcBorders>
            <w:shd w:val="clear" w:color="auto" w:fill="auto"/>
            <w:vAlign w:val="center"/>
          </w:tcPr>
          <w:p w14:paraId="7D0660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基本要求：</w:t>
            </w:r>
          </w:p>
          <w:p w14:paraId="21C689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1.适用于贝克曼（Navios)流式细胞分析仪，配套试剂。</w:t>
            </w:r>
          </w:p>
          <w:p w14:paraId="06AF3B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参数要求：</w:t>
            </w:r>
          </w:p>
          <w:p w14:paraId="35B623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1.HLA-B27 /HLA-B7国家临检中心已开展室间质评的项目必须要有独立分组，且连续三年（2023年-2025年）室间质评独立分组家数在50家以上（提供网站截屏证明及合格成绩单成绩）。</w:t>
            </w:r>
          </w:p>
          <w:p w14:paraId="572FB0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2.试剂可同时检测B27和B7两个抗原。</w:t>
            </w:r>
          </w:p>
          <w:p w14:paraId="62CD38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3.明确提供B27抗体和B7抗体的克隆号；若采用广谱反应性克隆(如HLA-ABC-m3)，须配备B7抗体进行双标记。</w:t>
            </w:r>
          </w:p>
          <w:p w14:paraId="55ED8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4.HLA-B27-FITC/HLA-B7-PE项目必须提供质控或者同型对照，确保符合《流式细胞术临床检测操作指南》及临床检验质量控制要求（提供相关证明）。</w:t>
            </w:r>
          </w:p>
        </w:tc>
      </w:tr>
      <w:tr w14:paraId="1C8F5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1070" w:type="dxa"/>
            <w:tcBorders>
              <w:top w:val="single" w:color="auto" w:sz="4" w:space="0"/>
              <w:left w:val="single" w:color="000000" w:sz="4" w:space="0"/>
              <w:bottom w:val="nil"/>
              <w:right w:val="single" w:color="000000" w:sz="4" w:space="0"/>
            </w:tcBorders>
            <w:shd w:val="clear" w:color="auto" w:fill="auto"/>
            <w:vAlign w:val="center"/>
          </w:tcPr>
          <w:p w14:paraId="2A691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22" w:type="dxa"/>
            <w:tcBorders>
              <w:top w:val="single" w:color="auto" w:sz="4" w:space="0"/>
              <w:left w:val="single" w:color="000000" w:sz="4" w:space="0"/>
              <w:bottom w:val="nil"/>
              <w:right w:val="single" w:color="000000" w:sz="4" w:space="0"/>
            </w:tcBorders>
            <w:shd w:val="clear" w:color="auto" w:fill="auto"/>
            <w:vAlign w:val="center"/>
          </w:tcPr>
          <w:p w14:paraId="20E21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微生物药敏及鉴定卡</w:t>
            </w:r>
          </w:p>
        </w:tc>
        <w:tc>
          <w:tcPr>
            <w:tcW w:w="6999" w:type="dxa"/>
            <w:tcBorders>
              <w:top w:val="single" w:color="auto" w:sz="4" w:space="0"/>
              <w:left w:val="single" w:color="000000" w:sz="4" w:space="0"/>
              <w:bottom w:val="nil"/>
              <w:right w:val="single" w:color="000000" w:sz="4" w:space="0"/>
            </w:tcBorders>
            <w:shd w:val="clear" w:color="auto" w:fill="auto"/>
            <w:vAlign w:val="center"/>
          </w:tcPr>
          <w:p w14:paraId="00BD7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                                                               1.适用于VITEK COMPACT 2 微生物鉴定检测仪。配套试剂。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2.每年提供至少1次仪器校准并提供校准报告。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3.提供项目配套质控品、耗材等，中标方使用前需完成并通过试剂性能验证或比对工作。</w:t>
            </w:r>
          </w:p>
        </w:tc>
      </w:tr>
      <w:tr w14:paraId="1F8E8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8" w:hRule="atLeast"/>
        </w:trPr>
        <w:tc>
          <w:tcPr>
            <w:tcW w:w="1070" w:type="dxa"/>
            <w:tcBorders>
              <w:top w:val="single" w:color="000000" w:sz="4" w:space="0"/>
              <w:left w:val="single" w:color="000000" w:sz="4" w:space="0"/>
              <w:bottom w:val="nil"/>
              <w:right w:val="single" w:color="000000" w:sz="4" w:space="0"/>
            </w:tcBorders>
            <w:shd w:val="clear" w:color="auto" w:fill="auto"/>
            <w:vAlign w:val="center"/>
          </w:tcPr>
          <w:p w14:paraId="4F273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22" w:type="dxa"/>
            <w:tcBorders>
              <w:top w:val="single" w:color="000000" w:sz="4" w:space="0"/>
              <w:left w:val="single" w:color="000000" w:sz="4" w:space="0"/>
              <w:bottom w:val="nil"/>
              <w:right w:val="single" w:color="000000" w:sz="4" w:space="0"/>
            </w:tcBorders>
            <w:shd w:val="clear" w:color="auto" w:fill="auto"/>
            <w:vAlign w:val="center"/>
          </w:tcPr>
          <w:p w14:paraId="0BC0A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免疫肿瘤、乙肝、甲状腺功能</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71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1.配套于雅培i-2000化学发光分析仪。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2.每年提供至少1次仪器校准并提供校准报告。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3.提供项目配套质控品、校准品、耗材等，中标方使用前需完成并通过试剂性能验证或比对工作。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4.需国家及省室间质评中具有独立分组(如为开展的室间质评项目，提供最近1次证明文件)。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5.项目具有溯源性,并提供证明文件。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6.支付方式按LIS结算。                                              7.提供驻场技术人员2名。</w:t>
            </w:r>
          </w:p>
        </w:tc>
      </w:tr>
      <w:tr w14:paraId="134E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0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03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BB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血流变分析仪</w:t>
            </w:r>
          </w:p>
        </w:tc>
        <w:tc>
          <w:tcPr>
            <w:tcW w:w="6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846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                                                         1.适用于众驰ZL9100C系列全自动血流变分析仪，配套试剂（或提供同层次的设备配套）。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2.每年提供至少1次仪器校准并提供校准报告，中标方使用前需完成并通过试剂性能验证或比对工作。                                                           3.提供其它相关检测耗材及校准品。                                   4.需国家室间质评中具有独立分组(提供最近1次证明文件)。   </w:t>
            </w:r>
          </w:p>
        </w:tc>
      </w:tr>
      <w:tr w14:paraId="5CD21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0F3BE">
            <w:pPr>
              <w:jc w:val="center"/>
              <w:rPr>
                <w:rFonts w:hint="eastAsia" w:ascii="宋体" w:hAnsi="宋体" w:eastAsia="宋体" w:cs="宋体"/>
                <w:i w:val="0"/>
                <w:iCs w:val="0"/>
                <w:color w:val="000000"/>
                <w:sz w:val="18"/>
                <w:szCs w:val="18"/>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345C1">
            <w:pPr>
              <w:jc w:val="center"/>
              <w:rPr>
                <w:rFonts w:hint="eastAsia" w:ascii="宋体" w:hAnsi="宋体" w:eastAsia="宋体" w:cs="宋体"/>
                <w:i w:val="0"/>
                <w:iCs w:val="0"/>
                <w:color w:val="000000"/>
                <w:sz w:val="18"/>
                <w:szCs w:val="18"/>
                <w:u w:val="none"/>
              </w:rPr>
            </w:pPr>
          </w:p>
        </w:tc>
        <w:tc>
          <w:tcPr>
            <w:tcW w:w="6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2BDE4">
            <w:pPr>
              <w:jc w:val="left"/>
              <w:rPr>
                <w:rFonts w:hint="eastAsia" w:ascii="宋体" w:hAnsi="宋体" w:eastAsia="宋体" w:cs="宋体"/>
                <w:i w:val="0"/>
                <w:iCs w:val="0"/>
                <w:color w:val="000000"/>
                <w:sz w:val="20"/>
                <w:szCs w:val="20"/>
                <w:u w:val="none"/>
              </w:rPr>
            </w:pPr>
          </w:p>
        </w:tc>
      </w:tr>
      <w:tr w14:paraId="57804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B8F92">
            <w:pPr>
              <w:jc w:val="center"/>
              <w:rPr>
                <w:rFonts w:hint="eastAsia" w:ascii="宋体" w:hAnsi="宋体" w:eastAsia="宋体" w:cs="宋体"/>
                <w:i w:val="0"/>
                <w:iCs w:val="0"/>
                <w:color w:val="000000"/>
                <w:sz w:val="18"/>
                <w:szCs w:val="18"/>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1E097">
            <w:pPr>
              <w:jc w:val="center"/>
              <w:rPr>
                <w:rFonts w:hint="eastAsia" w:ascii="宋体" w:hAnsi="宋体" w:eastAsia="宋体" w:cs="宋体"/>
                <w:i w:val="0"/>
                <w:iCs w:val="0"/>
                <w:color w:val="000000"/>
                <w:sz w:val="18"/>
                <w:szCs w:val="18"/>
                <w:u w:val="none"/>
              </w:rPr>
            </w:pPr>
          </w:p>
        </w:tc>
        <w:tc>
          <w:tcPr>
            <w:tcW w:w="6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5B05A">
            <w:pPr>
              <w:jc w:val="left"/>
              <w:rPr>
                <w:rFonts w:hint="eastAsia" w:ascii="宋体" w:hAnsi="宋体" w:eastAsia="宋体" w:cs="宋体"/>
                <w:i w:val="0"/>
                <w:iCs w:val="0"/>
                <w:color w:val="000000"/>
                <w:sz w:val="20"/>
                <w:szCs w:val="20"/>
                <w:u w:val="none"/>
              </w:rPr>
            </w:pPr>
          </w:p>
        </w:tc>
      </w:tr>
      <w:tr w14:paraId="3614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43058">
            <w:pPr>
              <w:jc w:val="center"/>
              <w:rPr>
                <w:rFonts w:hint="eastAsia" w:ascii="宋体" w:hAnsi="宋体" w:eastAsia="宋体" w:cs="宋体"/>
                <w:i w:val="0"/>
                <w:iCs w:val="0"/>
                <w:color w:val="000000"/>
                <w:sz w:val="18"/>
                <w:szCs w:val="18"/>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BE33A">
            <w:pPr>
              <w:jc w:val="center"/>
              <w:rPr>
                <w:rFonts w:hint="eastAsia" w:ascii="宋体" w:hAnsi="宋体" w:eastAsia="宋体" w:cs="宋体"/>
                <w:i w:val="0"/>
                <w:iCs w:val="0"/>
                <w:color w:val="000000"/>
                <w:sz w:val="18"/>
                <w:szCs w:val="18"/>
                <w:u w:val="none"/>
              </w:rPr>
            </w:pPr>
          </w:p>
        </w:tc>
        <w:tc>
          <w:tcPr>
            <w:tcW w:w="69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A936">
            <w:pPr>
              <w:jc w:val="left"/>
              <w:rPr>
                <w:rFonts w:hint="eastAsia" w:ascii="宋体" w:hAnsi="宋体" w:eastAsia="宋体" w:cs="宋体"/>
                <w:i w:val="0"/>
                <w:iCs w:val="0"/>
                <w:color w:val="000000"/>
                <w:sz w:val="20"/>
                <w:szCs w:val="20"/>
                <w:u w:val="none"/>
              </w:rPr>
            </w:pPr>
          </w:p>
        </w:tc>
      </w:tr>
      <w:tr w14:paraId="65D6F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0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5EC3">
            <w:pPr>
              <w:jc w:val="center"/>
              <w:rPr>
                <w:rFonts w:hint="eastAsia" w:ascii="宋体" w:hAnsi="宋体" w:eastAsia="宋体" w:cs="宋体"/>
                <w:i w:val="0"/>
                <w:iCs w:val="0"/>
                <w:color w:val="000000"/>
                <w:sz w:val="18"/>
                <w:szCs w:val="18"/>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3D00F">
            <w:pPr>
              <w:jc w:val="center"/>
              <w:rPr>
                <w:rFonts w:hint="eastAsia" w:ascii="宋体" w:hAnsi="宋体" w:eastAsia="宋体" w:cs="宋体"/>
                <w:i w:val="0"/>
                <w:iCs w:val="0"/>
                <w:color w:val="000000"/>
                <w:sz w:val="18"/>
                <w:szCs w:val="18"/>
                <w:u w:val="none"/>
              </w:rPr>
            </w:pPr>
          </w:p>
        </w:tc>
        <w:tc>
          <w:tcPr>
            <w:tcW w:w="69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9915">
            <w:pPr>
              <w:jc w:val="left"/>
              <w:rPr>
                <w:rFonts w:hint="eastAsia" w:ascii="宋体" w:hAnsi="宋体" w:eastAsia="宋体" w:cs="宋体"/>
                <w:i w:val="0"/>
                <w:iCs w:val="0"/>
                <w:color w:val="000000"/>
                <w:sz w:val="20"/>
                <w:szCs w:val="20"/>
                <w:u w:val="none"/>
              </w:rPr>
            </w:pPr>
          </w:p>
        </w:tc>
      </w:tr>
      <w:tr w14:paraId="6B862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8"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F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41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血气测定试剂盒(昌安检验及麻醉）</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07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基本要求：                                                                        1.测试项目要求：pH、PCO2、PO2、指标。                                           2.提供配套设备2套。                                                                   3.每年提供至少1次仪器校准并提供校准报告，中标方使用前需完成并通过试剂性能验证或比对工作。                                                            4.提供其它相关检测耗材及校准品。                                           5.需国家室间质评中具有独立分组(提供最近1次证明文件)。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 全部电极免维护保养，无需气瓶.使用包含电极、定标物质、质控包、进样针、废液容器在内的一体化全封闭分析包。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 测试时间：≤100秒。</w:t>
            </w:r>
          </w:p>
        </w:tc>
      </w:tr>
      <w:tr w14:paraId="2ABC9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070" w:type="dxa"/>
            <w:tcBorders>
              <w:top w:val="single" w:color="auto" w:sz="4" w:space="0"/>
              <w:left w:val="single" w:color="000000" w:sz="4" w:space="0"/>
              <w:bottom w:val="nil"/>
              <w:right w:val="single" w:color="000000" w:sz="4" w:space="0"/>
            </w:tcBorders>
            <w:shd w:val="clear" w:color="auto" w:fill="auto"/>
            <w:vAlign w:val="center"/>
          </w:tcPr>
          <w:p w14:paraId="213D15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22" w:type="dxa"/>
            <w:tcBorders>
              <w:top w:val="single" w:color="auto" w:sz="4" w:space="0"/>
              <w:left w:val="single" w:color="000000" w:sz="4" w:space="0"/>
              <w:bottom w:val="nil"/>
              <w:right w:val="single" w:color="000000" w:sz="4" w:space="0"/>
            </w:tcBorders>
            <w:shd w:val="clear" w:color="auto" w:fill="auto"/>
            <w:vAlign w:val="center"/>
          </w:tcPr>
          <w:p w14:paraId="24C4F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大便常规试剂</w:t>
            </w:r>
          </w:p>
        </w:tc>
        <w:tc>
          <w:tcPr>
            <w:tcW w:w="6999" w:type="dxa"/>
            <w:tcBorders>
              <w:top w:val="single" w:color="auto" w:sz="4" w:space="0"/>
              <w:left w:val="single" w:color="000000" w:sz="4" w:space="0"/>
              <w:bottom w:val="single" w:color="000000" w:sz="4" w:space="0"/>
              <w:right w:val="single" w:color="000000" w:sz="4" w:space="0"/>
            </w:tcBorders>
            <w:shd w:val="clear" w:color="auto" w:fill="auto"/>
            <w:vAlign w:val="center"/>
          </w:tcPr>
          <w:p w14:paraId="5FDD0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基本要求：                                                            1.适用于科域KU-F20全自动粪便检测仪，配套试剂（或提供相应的仪器配套）。每年提供至少1次仪器校准并提供校准报告。                                                    2. 提供项目配套质控品、校准品、耗材等，中标方使用前需完成并通过试剂性能验证或比对工作。</w:t>
            </w:r>
          </w:p>
        </w:tc>
      </w:tr>
      <w:tr w14:paraId="0A0B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70" w:type="dxa"/>
            <w:tcBorders>
              <w:top w:val="single" w:color="000000" w:sz="4" w:space="0"/>
              <w:left w:val="single" w:color="000000" w:sz="4" w:space="0"/>
              <w:bottom w:val="nil"/>
              <w:right w:val="single" w:color="000000" w:sz="4" w:space="0"/>
            </w:tcBorders>
            <w:shd w:val="clear" w:color="auto" w:fill="auto"/>
            <w:vAlign w:val="center"/>
          </w:tcPr>
          <w:p w14:paraId="5CF83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022" w:type="dxa"/>
            <w:tcBorders>
              <w:top w:val="single" w:color="000000" w:sz="4" w:space="0"/>
              <w:left w:val="single" w:color="000000" w:sz="4" w:space="0"/>
              <w:bottom w:val="nil"/>
              <w:right w:val="single" w:color="000000" w:sz="4" w:space="0"/>
            </w:tcBorders>
            <w:shd w:val="clear" w:color="auto" w:fill="auto"/>
            <w:vAlign w:val="center"/>
          </w:tcPr>
          <w:p w14:paraId="37324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凝血五项</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0E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基本要求：                                                                 1.预期用途：用于定量测定人血浆中的凝血酶原时间（PT）、活化部分凝血活酶时间（APPT）、凝血酶时间（TT）、纤维蛋白原（Fbg）、交联纤维蛋白降解产物(D-二聚体)。且试剂需与设备原厂配套。                                                 2.提供配套设备(台式单机一台。流水线一套，流水线速度要求PT≥800 T/小时）。                                                              3.每年提供至少2次仪器校准并提供校准报告。                                      4.提供其它相关检测耗材及校准品、常规四项质控品。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5.需国家及省室间质评中具有独立分组（提供最近一次截图证明文件）</w:t>
            </w:r>
            <w:r>
              <w:rPr>
                <w:rFonts w:hint="eastAsia" w:ascii="宋体" w:hAnsi="宋体" w:eastAsia="宋体" w:cs="宋体"/>
                <w:i w:val="0"/>
                <w:iCs w:val="0"/>
                <w:color w:val="000000"/>
                <w:kern w:val="0"/>
                <w:sz w:val="20"/>
                <w:szCs w:val="20"/>
                <w:u w:val="none"/>
                <w:lang w:val="en-US" w:eastAsia="zh-CN" w:bidi="ar"/>
              </w:rPr>
              <w:t xml:space="preserve">。                                                       6. D-二聚体按LIS结算。                                                     技术参数：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1.检测方法：凝固法、发色底物法、免疫法、凝集法，4种检测方法齐全。                                                                   2.常规四项检测方法：光学凝固法。具备PT演算法用于获得Fbg数值。                                                                3.常规四项重复性：用质控血浆重复测试，所得结果的变异系数（CV）应≤5%。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4.常规四项批间差：用质控血浆重复测试3个不同批号试剂，用质控血浆重复测试，所得结果的变异系数（CV）应≤10%。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5.D-二聚体检验方法：免疫比浊法。可与临床测前概率（PTP）评价模式一起使用，排除病人患有深静脉血栓( DVT)和/或肺栓塞（PE），也可用于定量监测D-Dimer浓度的相应变化。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6.线性范围：D-二聚体在仪器上为0.5-100ug/mL，相关系数r应＞0.98。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7，储存条件及有效期：试剂盒密封保存在2- 8°C的温度中，可以稳定24个月。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检测下</w:t>
            </w:r>
            <w:r>
              <w:rPr>
                <w:rFonts w:hint="eastAsia" w:ascii="宋体" w:hAnsi="宋体" w:eastAsia="宋体" w:cs="宋体"/>
                <w:i w:val="0"/>
                <w:iCs w:val="0"/>
                <w:color w:val="000000"/>
                <w:kern w:val="0"/>
                <w:sz w:val="20"/>
                <w:szCs w:val="20"/>
                <w:u w:val="none"/>
                <w:lang w:val="en-US" w:eastAsia="zh-CN" w:bidi="ar"/>
              </w:rPr>
              <w:t>限：Fbg为0.8g/L。D-二聚体为0.2g/mL。</w:t>
            </w:r>
          </w:p>
        </w:tc>
      </w:tr>
      <w:tr w14:paraId="31128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0"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D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1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丙型肝炎病毒(HCV)核酸定量测定试剂盒</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EC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基本要求： </w:t>
            </w:r>
          </w:p>
          <w:p w14:paraId="1BDEB1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1.用于定量检测临床血清或血浆样本中丙型肝炎病毒（HCV）RNA。 </w:t>
            </w:r>
          </w:p>
          <w:p w14:paraId="4F2B84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基于荧光定量PCR检测技术，适用于ABI7500荧光PCR仪、Roche Light Cycler 480荧光PCR仪。                                                3.中标方使用前需完成并通过试剂性能验证或比对工作。每年提供至少1次仪器校准并提供校准报告。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4.按需提供项目配套质控品、耗材等。                                                技术参数：                                                               1.NMPA注册证：需具备NMPA三类注册证。                                   2.检测样本类型：血清或血浆。                                        3.覆盖基因型：1-6基因型。                                                  4.核酸提取方式：超顺纳米磁珠提取技术，仅需一次洗涤，磁珠无需洗脱。                                                      6.检测灵敏度/检测下限：≤25 IU/mL。                                        7.精密度CV：≤5%。线性范围：50～1.0×10</w:t>
            </w:r>
            <w:r>
              <w:rPr>
                <w:rFonts w:hint="eastAsia" w:ascii="宋体" w:hAnsi="宋体" w:eastAsia="宋体" w:cs="宋体"/>
                <w:i w:val="0"/>
                <w:iCs w:val="0"/>
                <w:color w:val="000000"/>
                <w:kern w:val="0"/>
                <w:sz w:val="20"/>
                <w:szCs w:val="20"/>
                <w:u w:val="none"/>
                <w:vertAlign w:val="superscript"/>
                <w:lang w:val="en-US" w:eastAsia="zh-CN" w:bidi="ar"/>
              </w:rPr>
              <w:t>8</w:t>
            </w:r>
            <w:r>
              <w:rPr>
                <w:rFonts w:hint="eastAsia" w:ascii="宋体" w:hAnsi="宋体" w:eastAsia="宋体" w:cs="宋体"/>
                <w:i w:val="0"/>
                <w:iCs w:val="0"/>
                <w:color w:val="000000"/>
                <w:kern w:val="0"/>
                <w:sz w:val="20"/>
                <w:szCs w:val="20"/>
                <w:u w:val="none"/>
                <w:lang w:val="en-US" w:eastAsia="zh-CN" w:bidi="ar"/>
              </w:rPr>
              <w:t xml:space="preserve"> IU/mL。                        8.扩增时间：≤100min。                                                        9.可实现全自动化提取操作。</w:t>
            </w:r>
          </w:p>
        </w:tc>
      </w:tr>
      <w:tr w14:paraId="56AFC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2FA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4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凝聚胺介质试剂</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13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基本要求：</w:t>
            </w:r>
          </w:p>
          <w:p w14:paraId="2F649A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1、具备三类医疗器械注册证。</w:t>
            </w:r>
          </w:p>
          <w:p w14:paraId="20DF37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2、试剂包含：低离子溶液、凝聚胺溶液、悬浮液。</w:t>
            </w:r>
          </w:p>
          <w:p w14:paraId="20718F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3、包装密封防潮，标识清晰（品名、规格、批号、效期、注册证号）。</w:t>
            </w:r>
          </w:p>
          <w:p w14:paraId="4723C2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4、pH值：低离子液 6.5–7.5；凝聚胺液 5.5–6.5；悬浮液 7.0–8.0。</w:t>
            </w:r>
          </w:p>
          <w:p w14:paraId="49AFE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5、提供原厂批次检验报告。</w:t>
            </w:r>
          </w:p>
        </w:tc>
      </w:tr>
      <w:tr w14:paraId="3613F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1" w:hRule="atLeast"/>
        </w:trPr>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A2DC">
            <w:pPr>
              <w:jc w:val="center"/>
              <w:rPr>
                <w:rFonts w:hint="default" w:ascii="宋体" w:hAnsi="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29</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54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生化常规21项</w:t>
            </w:r>
          </w:p>
        </w:tc>
        <w:tc>
          <w:tcPr>
            <w:tcW w:w="6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36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基本要求：</w:t>
            </w:r>
          </w:p>
          <w:p w14:paraId="515234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配套现有雅培C16000生化分析仪。其中总胆红素、直接胆红素、总胆固醇、钙、镁产品性能达到雅培原装配套试剂或同等及以上产品。品牌类型≤2个。提供设备原厂对本项目售后服务承诺。</w:t>
            </w:r>
          </w:p>
        </w:tc>
      </w:tr>
    </w:tbl>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lang w:eastAsia="zh-CN"/>
        </w:rPr>
        <w:t>三</w:t>
      </w:r>
      <w:r>
        <w:rPr>
          <w:rFonts w:hint="eastAsia" w:ascii="仿宋" w:hAnsi="仿宋" w:eastAsia="仿宋"/>
          <w:b/>
          <w:color w:val="auto"/>
          <w:sz w:val="24"/>
        </w:rPr>
        <w:t>、其他要求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1AE8EBA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1A15D7F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bookmarkStart w:id="15" w:name="_Toc104885747"/>
    </w:p>
    <w:p w14:paraId="607A5203">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w:t>
      </w:r>
      <w:r>
        <w:rPr>
          <w:rFonts w:hint="eastAsia" w:ascii="仿宋" w:hAnsi="仿宋" w:eastAsia="仿宋" w:cs="仿宋"/>
          <w:color w:val="auto"/>
          <w:sz w:val="24"/>
          <w:lang w:val="en-US" w:eastAsia="zh-CN"/>
        </w:rPr>
        <w:t>1.5</w:t>
      </w:r>
      <w:r>
        <w:rPr>
          <w:rFonts w:hint="eastAsia" w:ascii="仿宋" w:hAnsi="仿宋" w:eastAsia="仿宋" w:cs="仿宋"/>
          <w:color w:val="auto"/>
          <w:sz w:val="24"/>
        </w:rPr>
        <w:t>年，签约地点：绍兴大学附属医院。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1C378E0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绍兴大学附属医院2026年第一次诊断试剂采购项目（三次）</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绍兴大学附属医院2026年第一次诊断试剂采购项目（三次）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hint="eastAsia" w:ascii="仿宋" w:hAnsi="仿宋" w:eastAsia="仿宋" w:cs="仿宋"/>
          <w:b/>
          <w:color w:val="auto"/>
          <w:sz w:val="24"/>
          <w:lang w:val="en-US" w:eastAsia="zh-CN"/>
        </w:rPr>
      </w:pPr>
      <w:r>
        <w:rPr>
          <w:rFonts w:hint="eastAsia" w:ascii="仿宋" w:hAnsi="仿宋" w:eastAsia="仿宋" w:cs="仿宋"/>
          <w:b/>
          <w:color w:val="auto"/>
          <w:sz w:val="24"/>
        </w:rPr>
        <w:t>甲  方：绍兴大学附属医院</w:t>
      </w:r>
      <w:r>
        <w:rPr>
          <w:rFonts w:hint="eastAsia" w:ascii="仿宋" w:hAnsi="仿宋" w:eastAsia="仿宋" w:cs="仿宋"/>
          <w:b/>
          <w:color w:val="auto"/>
          <w:sz w:val="24"/>
          <w:lang w:val="en-US" w:eastAsia="zh-CN"/>
        </w:rPr>
        <w:t xml:space="preserve"> </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lang w:eastAsia="zh-CN"/>
        </w:rPr>
      </w:pPr>
      <w:r>
        <w:rPr>
          <w:rFonts w:hint="eastAsia" w:ascii="仿宋" w:hAnsi="仿宋" w:eastAsia="仿宋" w:cs="仿宋"/>
          <w:color w:val="auto"/>
          <w:sz w:val="24"/>
        </w:rPr>
        <w:t>甲方：绍兴大学附属医院</w:t>
      </w:r>
      <w:r>
        <w:rPr>
          <w:rFonts w:hint="eastAsia" w:ascii="仿宋" w:hAnsi="仿宋" w:eastAsia="仿宋" w:cs="仿宋"/>
          <w:color w:val="auto"/>
          <w:sz w:val="24"/>
          <w:lang w:val="en-US" w:eastAsia="zh-CN"/>
        </w:rPr>
        <w:t xml:space="preserve"> </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绍兴大学附属医院2026年第一次诊断试剂采购项目（三次）</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绍兴大学附属医院2026年第一次诊断试剂采购项目（三次）</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w:t>
      </w:r>
      <w:r>
        <w:rPr>
          <w:rFonts w:hint="eastAsia" w:ascii="仿宋" w:hAnsi="仿宋" w:eastAsia="仿宋" w:cs="仿宋"/>
          <w:color w:val="auto"/>
          <w:sz w:val="24"/>
          <w:lang w:val="en-US" w:eastAsia="zh-CN"/>
        </w:rPr>
        <w:t>1.5年</w:t>
      </w:r>
      <w:r>
        <w:rPr>
          <w:rFonts w:hint="eastAsia" w:ascii="仿宋" w:hAnsi="仿宋" w:eastAsia="仿宋" w:cs="仿宋"/>
          <w:color w:val="auto"/>
          <w:sz w:val="24"/>
        </w:rPr>
        <w:t>，采购周期结束前一个月甲方有权决定采购周期是否延长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绍兴大学附属医院2026年第一次诊断试剂采购项目（三次）</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w:t>
      </w:r>
      <w:r>
        <w:rPr>
          <w:rFonts w:hint="eastAsia" w:ascii="仿宋" w:hAnsi="仿宋" w:eastAsia="仿宋" w:cs="仿宋"/>
          <w:b/>
          <w:color w:val="auto"/>
          <w:sz w:val="24"/>
          <w:u w:val="single"/>
          <w:lang w:val="en-US" w:eastAsia="zh-CN"/>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08AC653F">
      <w:pPr>
        <w:kinsoku/>
        <w:overflowPunct/>
        <w:topLinePunct w:val="0"/>
        <w:bidi w:val="0"/>
        <w:spacing w:line="288" w:lineRule="auto"/>
        <w:ind w:firstLine="883"/>
        <w:jc w:val="center"/>
        <w:rPr>
          <w:rFonts w:ascii="仿宋" w:hAnsi="仿宋" w:eastAsia="仿宋" w:cs="仿宋"/>
          <w:b/>
          <w:bCs/>
          <w:color w:val="auto"/>
          <w:sz w:val="44"/>
          <w:szCs w:val="40"/>
        </w:rPr>
      </w:pPr>
    </w:p>
    <w:p w14:paraId="4F3A9DF4">
      <w:pPr>
        <w:kinsoku/>
        <w:overflowPunct/>
        <w:topLinePunct w:val="0"/>
        <w:bidi w:val="0"/>
        <w:spacing w:line="288" w:lineRule="auto"/>
        <w:ind w:firstLine="883"/>
        <w:jc w:val="center"/>
        <w:rPr>
          <w:rFonts w:ascii="仿宋" w:hAnsi="仿宋" w:eastAsia="仿宋" w:cs="仿宋"/>
          <w:b/>
          <w:bCs/>
          <w:color w:val="auto"/>
          <w:sz w:val="44"/>
          <w:szCs w:val="40"/>
        </w:rPr>
      </w:pPr>
    </w:p>
    <w:p w14:paraId="0344396D">
      <w:pPr>
        <w:kinsoku/>
        <w:overflowPunct/>
        <w:topLinePunct w:val="0"/>
        <w:bidi w:val="0"/>
        <w:spacing w:line="288" w:lineRule="auto"/>
        <w:ind w:firstLine="883"/>
        <w:jc w:val="center"/>
        <w:rPr>
          <w:rFonts w:ascii="仿宋" w:hAnsi="仿宋" w:eastAsia="仿宋" w:cs="仿宋"/>
          <w:b/>
          <w:bCs/>
          <w:color w:val="auto"/>
          <w:sz w:val="44"/>
          <w:szCs w:val="40"/>
        </w:rPr>
      </w:pPr>
    </w:p>
    <w:p w14:paraId="13AC3790">
      <w:pPr>
        <w:kinsoku/>
        <w:overflowPunct/>
        <w:topLinePunct w:val="0"/>
        <w:bidi w:val="0"/>
        <w:spacing w:line="288" w:lineRule="auto"/>
        <w:ind w:firstLine="883"/>
        <w:jc w:val="center"/>
        <w:rPr>
          <w:rFonts w:ascii="仿宋" w:hAnsi="仿宋" w:eastAsia="仿宋" w:cs="仿宋"/>
          <w:b/>
          <w:bCs/>
          <w:color w:val="auto"/>
          <w:sz w:val="44"/>
          <w:szCs w:val="40"/>
        </w:rPr>
      </w:pPr>
    </w:p>
    <w:p w14:paraId="06202F1F">
      <w:pPr>
        <w:kinsoku/>
        <w:overflowPunct/>
        <w:topLinePunct w:val="0"/>
        <w:bidi w:val="0"/>
        <w:spacing w:line="288" w:lineRule="auto"/>
        <w:jc w:val="center"/>
        <w:rPr>
          <w:rFonts w:hint="eastAsia" w:ascii="仿宋" w:hAnsi="仿宋" w:eastAsia="仿宋" w:cs="仿宋"/>
          <w:b/>
          <w:bCs/>
          <w:color w:val="auto"/>
          <w:sz w:val="44"/>
          <w:szCs w:val="40"/>
        </w:rPr>
      </w:pPr>
    </w:p>
    <w:p w14:paraId="5D6E2333">
      <w:pPr>
        <w:kinsoku/>
        <w:overflowPunct/>
        <w:topLinePunct w:val="0"/>
        <w:bidi w:val="0"/>
        <w:spacing w:line="288" w:lineRule="auto"/>
        <w:jc w:val="center"/>
        <w:rPr>
          <w:rFonts w:hint="eastAsia" w:ascii="仿宋" w:hAnsi="仿宋" w:eastAsia="仿宋" w:cs="仿宋"/>
          <w:b/>
          <w:bCs/>
          <w:color w:val="auto"/>
          <w:sz w:val="44"/>
          <w:szCs w:val="40"/>
        </w:rPr>
      </w:pPr>
    </w:p>
    <w:p w14:paraId="04FE482D">
      <w:pPr>
        <w:kinsoku/>
        <w:overflowPunct/>
        <w:topLinePunct w:val="0"/>
        <w:bidi w:val="0"/>
        <w:spacing w:line="288" w:lineRule="auto"/>
        <w:jc w:val="center"/>
        <w:rPr>
          <w:rFonts w:hint="eastAsia" w:ascii="仿宋" w:hAnsi="仿宋" w:eastAsia="仿宋" w:cs="仿宋"/>
          <w:b/>
          <w:bCs/>
          <w:color w:val="auto"/>
          <w:sz w:val="44"/>
          <w:szCs w:val="40"/>
        </w:rPr>
      </w:pPr>
    </w:p>
    <w:p w14:paraId="06F2E484">
      <w:pPr>
        <w:kinsoku/>
        <w:overflowPunct/>
        <w:topLinePunct w:val="0"/>
        <w:bidi w:val="0"/>
        <w:spacing w:line="288" w:lineRule="auto"/>
        <w:jc w:val="center"/>
        <w:rPr>
          <w:rFonts w:hint="eastAsia" w:ascii="仿宋" w:hAnsi="仿宋" w:eastAsia="仿宋" w:cs="仿宋"/>
          <w:b/>
          <w:bCs/>
          <w:color w:val="auto"/>
          <w:sz w:val="44"/>
          <w:szCs w:val="40"/>
        </w:rPr>
      </w:pPr>
    </w:p>
    <w:p w14:paraId="2B791BA1">
      <w:pPr>
        <w:kinsoku/>
        <w:overflowPunct/>
        <w:topLinePunct w:val="0"/>
        <w:bidi w:val="0"/>
        <w:spacing w:line="288" w:lineRule="auto"/>
        <w:jc w:val="center"/>
        <w:rPr>
          <w:rFonts w:hint="eastAsia" w:ascii="仿宋" w:hAnsi="仿宋" w:eastAsia="仿宋" w:cs="仿宋"/>
          <w:b/>
          <w:bCs/>
          <w:color w:val="auto"/>
          <w:sz w:val="44"/>
          <w:szCs w:val="40"/>
        </w:rPr>
      </w:pPr>
    </w:p>
    <w:p w14:paraId="3B2270F8">
      <w:pPr>
        <w:kinsoku/>
        <w:overflowPunct/>
        <w:topLinePunct w:val="0"/>
        <w:bidi w:val="0"/>
        <w:spacing w:line="288" w:lineRule="auto"/>
        <w:jc w:val="center"/>
        <w:rPr>
          <w:rFonts w:hint="eastAsia" w:ascii="仿宋" w:hAnsi="仿宋" w:eastAsia="仿宋" w:cs="仿宋"/>
          <w:b/>
          <w:bCs/>
          <w:color w:val="auto"/>
          <w:sz w:val="44"/>
          <w:szCs w:val="40"/>
        </w:rPr>
      </w:pPr>
    </w:p>
    <w:p w14:paraId="2CE0056C">
      <w:pPr>
        <w:kinsoku/>
        <w:overflowPunct/>
        <w:topLinePunct w:val="0"/>
        <w:bidi w:val="0"/>
        <w:spacing w:line="288" w:lineRule="auto"/>
        <w:jc w:val="center"/>
        <w:rPr>
          <w:rFonts w:hint="eastAsia" w:ascii="仿宋" w:hAnsi="仿宋" w:eastAsia="仿宋" w:cs="仿宋"/>
          <w:b/>
          <w:bCs/>
          <w:color w:val="auto"/>
          <w:sz w:val="44"/>
          <w:szCs w:val="40"/>
        </w:rPr>
      </w:pPr>
    </w:p>
    <w:p w14:paraId="79E3003C">
      <w:pPr>
        <w:kinsoku/>
        <w:overflowPunct/>
        <w:topLinePunct w:val="0"/>
        <w:bidi w:val="0"/>
        <w:spacing w:line="288" w:lineRule="auto"/>
        <w:jc w:val="center"/>
        <w:rPr>
          <w:rFonts w:hint="eastAsia" w:ascii="仿宋" w:hAnsi="仿宋" w:eastAsia="仿宋" w:cs="仿宋"/>
          <w:b/>
          <w:bCs/>
          <w:color w:val="auto"/>
          <w:sz w:val="44"/>
          <w:szCs w:val="40"/>
        </w:rPr>
      </w:pPr>
    </w:p>
    <w:p w14:paraId="314BA701">
      <w:pPr>
        <w:kinsoku/>
        <w:overflowPunct/>
        <w:topLinePunct w:val="0"/>
        <w:bidi w:val="0"/>
        <w:spacing w:line="288" w:lineRule="auto"/>
        <w:jc w:val="center"/>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共100分，其中技术分60</w:t>
      </w:r>
      <w:r>
        <w:rPr>
          <w:rFonts w:hint="eastAsia" w:ascii="仿宋" w:hAnsi="仿宋" w:eastAsia="仿宋"/>
          <w:color w:val="auto"/>
          <w:sz w:val="24"/>
          <w:lang w:val="en-US" w:eastAsia="zh-CN"/>
        </w:rPr>
        <w:t>/70</w:t>
      </w:r>
      <w:r>
        <w:rPr>
          <w:rFonts w:hint="eastAsia" w:ascii="仿宋" w:hAnsi="仿宋" w:eastAsia="仿宋"/>
          <w:color w:val="auto"/>
          <w:sz w:val="24"/>
        </w:rPr>
        <w:t>分，商务分4</w:t>
      </w:r>
      <w:r>
        <w:rPr>
          <w:rFonts w:hint="eastAsia" w:ascii="仿宋" w:hAnsi="仿宋" w:eastAsia="仿宋"/>
          <w:color w:val="auto"/>
          <w:sz w:val="24"/>
          <w:lang w:val="en-US" w:eastAsia="zh-CN"/>
        </w:rPr>
        <w:t>0/30</w:t>
      </w:r>
      <w:r>
        <w:rPr>
          <w:rFonts w:hint="eastAsia" w:ascii="仿宋" w:hAnsi="仿宋" w:eastAsia="仿宋"/>
          <w:color w:val="auto"/>
          <w:sz w:val="24"/>
        </w:rPr>
        <w:t>分。评分依下述所列为评标打分依据，分值如下（计算分值时，按其算术平均值保留小数2位）</w:t>
      </w:r>
      <w:r>
        <w:rPr>
          <w:rFonts w:hint="eastAsia" w:ascii="仿宋" w:hAnsi="仿宋" w:eastAsia="仿宋"/>
          <w:color w:val="auto"/>
          <w:sz w:val="24"/>
          <w:lang w:eastAsia="zh-CN"/>
        </w:rPr>
        <w:t>。</w:t>
      </w:r>
    </w:p>
    <w:p w14:paraId="254E6D9B">
      <w:pPr>
        <w:kinsoku/>
        <w:overflowPunct/>
        <w:topLinePunct w:val="0"/>
        <w:bidi w:val="0"/>
        <w:spacing w:line="288" w:lineRule="auto"/>
        <w:ind w:firstLine="482"/>
        <w:rPr>
          <w:rFonts w:ascii="仿宋" w:hAnsi="仿宋" w:eastAsia="仿宋"/>
          <w:b/>
          <w:bCs/>
          <w:iCs/>
          <w:color w:val="auto"/>
          <w:sz w:val="24"/>
        </w:rPr>
      </w:pPr>
      <w:r>
        <w:rPr>
          <w:rFonts w:hint="eastAsia" w:ascii="仿宋" w:hAnsi="仿宋" w:eastAsia="仿宋"/>
          <w:b/>
          <w:bCs/>
          <w:iCs/>
          <w:color w:val="auto"/>
          <w:sz w:val="24"/>
        </w:rPr>
        <w:t>2.1（技术分60分）</w:t>
      </w:r>
      <w:r>
        <w:rPr>
          <w:rFonts w:hint="eastAsia" w:ascii="仿宋" w:hAnsi="仿宋" w:eastAsia="仿宋"/>
          <w:b/>
          <w:bCs/>
          <w:color w:val="auto"/>
          <w:sz w:val="24"/>
          <w:lang w:eastAsia="zh-CN"/>
        </w:rPr>
        <w:t>标段1、3、7、8、9、11、15、25、29</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auto"/>
                <w:sz w:val="24"/>
              </w:rPr>
            </w:pPr>
            <w:r>
              <w:rPr>
                <w:rFonts w:hint="eastAsia" w:ascii="仿宋" w:hAnsi="仿宋" w:eastAsia="仿宋" w:cs="仿宋"/>
                <w:b/>
                <w:bCs/>
                <w:color w:val="auto"/>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投标人综合实力</w:t>
            </w:r>
          </w:p>
        </w:tc>
        <w:tc>
          <w:tcPr>
            <w:tcW w:w="7515" w:type="dxa"/>
            <w:vAlign w:val="center"/>
          </w:tcPr>
          <w:p w14:paraId="450E78B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1.对投标人建立的企业管理制度，包括企业文化、企业组织结构、企业各项规章制度、企业管理流程等进行评价打分。(本项分值设置为4,3,2,1,0.5,0分)</w:t>
            </w:r>
          </w:p>
          <w:p w14:paraId="1C6B8BD2">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投标人对照要求自行组织材料，无材料的，不得分。</w:t>
            </w:r>
          </w:p>
        </w:tc>
        <w:tc>
          <w:tcPr>
            <w:tcW w:w="710" w:type="dxa"/>
            <w:vAlign w:val="center"/>
          </w:tcPr>
          <w:p w14:paraId="20956495">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6376F4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2.对投标人质量保证体系的规范性、全面性、有效性、可行性进行评价打分。(本项分值设置为4,3,2,1,0.5,0分)</w:t>
            </w:r>
          </w:p>
          <w:p w14:paraId="7719C9F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根据投标人提供的制度、人员、设备设施、场所、认证情况、质控检查等材料进行认定，无材料的，不得分。</w:t>
            </w:r>
          </w:p>
        </w:tc>
        <w:tc>
          <w:tcPr>
            <w:tcW w:w="710" w:type="dxa"/>
            <w:vAlign w:val="center"/>
          </w:tcPr>
          <w:p w14:paraId="00B0030F">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4F22788C">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对投标人运营情况及效率，如经营能力和水平、经营产品的优异性等进行评价打分。(本项分值设置为4,3,2,1,0.5,0分)</w:t>
            </w:r>
          </w:p>
          <w:p w14:paraId="2A62539C">
            <w:pPr>
              <w:kinsoku/>
              <w:overflowPunct/>
              <w:topLinePunct w:val="0"/>
              <w:bidi w:val="0"/>
              <w:adjustRightInd w:val="0"/>
              <w:spacing w:line="288" w:lineRule="auto"/>
              <w:jc w:val="left"/>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rPr>
              <w:t>根据投标人提供的合同票据、产品情况等材料进行认定，无材料的，不得分。</w:t>
            </w:r>
          </w:p>
        </w:tc>
        <w:tc>
          <w:tcPr>
            <w:tcW w:w="710" w:type="dxa"/>
            <w:vAlign w:val="center"/>
          </w:tcPr>
          <w:p w14:paraId="1C333826">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投标人资信</w:t>
            </w:r>
          </w:p>
        </w:tc>
        <w:tc>
          <w:tcPr>
            <w:tcW w:w="7515" w:type="dxa"/>
            <w:vAlign w:val="center"/>
          </w:tcPr>
          <w:p w14:paraId="6409342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具备一级代理资格或者厂家直销得3分；二级代理得2分；其他得1分。</w:t>
            </w:r>
          </w:p>
          <w:p w14:paraId="323FA4D9">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依据各级授权书进行认定，未提交材料或提交材料不符合要求的，不得分。</w:t>
            </w:r>
          </w:p>
        </w:tc>
        <w:tc>
          <w:tcPr>
            <w:tcW w:w="710" w:type="dxa"/>
            <w:vAlign w:val="center"/>
          </w:tcPr>
          <w:p w14:paraId="3EB5F360">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市场占有率</w:t>
            </w:r>
          </w:p>
        </w:tc>
        <w:tc>
          <w:tcPr>
            <w:tcW w:w="7515" w:type="dxa"/>
            <w:vAlign w:val="center"/>
          </w:tcPr>
          <w:p w14:paraId="46669FC3">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202</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3E7DEE10">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产品质量</w:t>
            </w:r>
          </w:p>
        </w:tc>
        <w:tc>
          <w:tcPr>
            <w:tcW w:w="7515" w:type="dxa"/>
            <w:vAlign w:val="center"/>
          </w:tcPr>
          <w:p w14:paraId="0FC7CE8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1.对所投产品的性能稳定性、准确性和均一性进行评价打分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2283A4DF">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B0EE69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2.对所投产品的</w:t>
            </w:r>
            <w:r>
              <w:rPr>
                <w:rFonts w:hint="eastAsia" w:ascii="仿宋" w:hAnsi="仿宋" w:eastAsia="仿宋" w:cs="仿宋"/>
                <w:color w:val="auto"/>
                <w:sz w:val="22"/>
                <w:szCs w:val="18"/>
                <w:lang w:val="en-US" w:eastAsia="zh-CN"/>
              </w:rPr>
              <w:t>技术先进性</w:t>
            </w:r>
            <w:r>
              <w:rPr>
                <w:rFonts w:hint="eastAsia" w:ascii="仿宋" w:hAnsi="仿宋" w:eastAsia="仿宋" w:cs="仿宋"/>
                <w:color w:val="auto"/>
                <w:sz w:val="22"/>
                <w:szCs w:val="18"/>
              </w:rPr>
              <w:t>、临床实用性进行评价打分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1D685A1C">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rPr>
              <w:t>3.对所投产品的操作便捷性、方便易用性进行评价打分。根据说明书、注册证书，质量标准、诊疗规范或诊疗指南或样品等有效证明材料进行认定。(本项分值设置为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00F63DA0">
            <w:pPr>
              <w:kinsoku/>
              <w:overflowPunct/>
              <w:topLinePunct w:val="0"/>
              <w:bidi w:val="0"/>
              <w:adjustRightInd w:val="0"/>
              <w:spacing w:line="288" w:lineRule="auto"/>
              <w:jc w:val="left"/>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r>
              <w:rPr>
                <w:rFonts w:hint="eastAsia" w:ascii="仿宋" w:hAnsi="仿宋" w:eastAsia="仿宋" w:cs="仿宋"/>
                <w:color w:val="auto"/>
                <w:sz w:val="22"/>
                <w:szCs w:val="18"/>
              </w:rPr>
              <w:t>对所投产品的用户认可度、在不同类型医院（包括但不限于三甲医院）的使用情况等方面进行评价打分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lang w:val="en-US" w:eastAsia="zh-CN"/>
              </w:rPr>
              <w:t>根据用户满意度评价</w:t>
            </w:r>
            <w:r>
              <w:rPr>
                <w:rFonts w:hint="eastAsia" w:ascii="仿宋" w:hAnsi="仿宋" w:eastAsia="仿宋" w:cs="仿宋"/>
                <w:color w:val="auto"/>
                <w:sz w:val="22"/>
                <w:szCs w:val="18"/>
              </w:rPr>
              <w:t>、</w:t>
            </w:r>
            <w:r>
              <w:rPr>
                <w:rFonts w:hint="eastAsia" w:ascii="仿宋" w:hAnsi="仿宋" w:eastAsia="仿宋" w:cs="仿宋"/>
                <w:color w:val="auto"/>
                <w:sz w:val="22"/>
                <w:szCs w:val="18"/>
                <w:lang w:val="en-US" w:eastAsia="zh-CN"/>
              </w:rPr>
              <w:t>医院使用证明材料等相关材料</w:t>
            </w:r>
            <w:r>
              <w:rPr>
                <w:rFonts w:hint="eastAsia" w:ascii="仿宋" w:hAnsi="仿宋" w:eastAsia="仿宋" w:cs="仿宋"/>
                <w:color w:val="auto"/>
                <w:sz w:val="22"/>
                <w:szCs w:val="18"/>
              </w:rPr>
              <w:t>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376A7161">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售后服务</w:t>
            </w:r>
          </w:p>
        </w:tc>
        <w:tc>
          <w:tcPr>
            <w:tcW w:w="7515" w:type="dxa"/>
            <w:vAlign w:val="center"/>
          </w:tcPr>
          <w:p w14:paraId="7BCBC49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auto"/>
                <w:sz w:val="22"/>
                <w:szCs w:val="18"/>
                <w:lang w:eastAsia="zh-CN"/>
              </w:rPr>
              <w:t>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tc>
        <w:tc>
          <w:tcPr>
            <w:tcW w:w="710" w:type="dxa"/>
            <w:vAlign w:val="center"/>
          </w:tcPr>
          <w:p w14:paraId="16F8F895">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C4D235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2.提供能满足采购人退换货要求的得3分，不提供相关承诺不得分。</w:t>
            </w:r>
          </w:p>
        </w:tc>
        <w:tc>
          <w:tcPr>
            <w:tcW w:w="710" w:type="dxa"/>
            <w:vAlign w:val="center"/>
          </w:tcPr>
          <w:p w14:paraId="63188DCA">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6B89DE">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3.制定配送方案，保障产品的及时送达。根据配送方案的可行性、完整性、保障应急措施的有效性进行打分。(本项分值设置为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p w14:paraId="3768E5A1">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不提供具体、可行配送方案的不得分。</w:t>
            </w:r>
          </w:p>
        </w:tc>
        <w:tc>
          <w:tcPr>
            <w:tcW w:w="710" w:type="dxa"/>
            <w:vAlign w:val="center"/>
          </w:tcPr>
          <w:p w14:paraId="6AD70AED">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757036">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4.提供能满足应急或突发事件需求的方案，依据方案的可行性、合理性、科学性等进行评分。(本项分值设置为3,2,1,0.5,0分)</w:t>
            </w:r>
          </w:p>
        </w:tc>
        <w:tc>
          <w:tcPr>
            <w:tcW w:w="710" w:type="dxa"/>
            <w:vAlign w:val="center"/>
          </w:tcPr>
          <w:p w14:paraId="670DD891">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其他优惠条件</w:t>
            </w:r>
          </w:p>
        </w:tc>
        <w:tc>
          <w:tcPr>
            <w:tcW w:w="7515" w:type="dxa"/>
            <w:vAlign w:val="center"/>
          </w:tcPr>
          <w:p w14:paraId="10791605">
            <w:pPr>
              <w:kinsoku/>
              <w:overflowPunct/>
              <w:topLinePunct w:val="0"/>
              <w:bidi w:val="0"/>
              <w:adjustRightInd w:val="0"/>
              <w:spacing w:line="288" w:lineRule="auto"/>
              <w:jc w:val="left"/>
              <w:rPr>
                <w:rFonts w:ascii="仿宋" w:hAnsi="仿宋" w:eastAsia="仿宋" w:cs="仿宋"/>
                <w:color w:val="auto"/>
                <w:sz w:val="22"/>
                <w:szCs w:val="18"/>
              </w:rPr>
            </w:pPr>
            <w:r>
              <w:rPr>
                <w:rFonts w:hint="eastAsia" w:ascii="仿宋" w:hAnsi="仿宋" w:eastAsia="仿宋" w:cs="宋体"/>
                <w:b w:val="0"/>
                <w:bCs/>
                <w:color w:val="auto"/>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auto"/>
                <w:sz w:val="22"/>
                <w:szCs w:val="18"/>
              </w:rPr>
              <w:t>)</w:t>
            </w:r>
          </w:p>
        </w:tc>
        <w:tc>
          <w:tcPr>
            <w:tcW w:w="710" w:type="dxa"/>
            <w:vAlign w:val="center"/>
          </w:tcPr>
          <w:p w14:paraId="4A1B08B5">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5</w:t>
            </w:r>
          </w:p>
        </w:tc>
      </w:tr>
    </w:tbl>
    <w:p w14:paraId="3E5CF94D">
      <w:pPr>
        <w:kinsoku/>
        <w:overflowPunct/>
        <w:topLinePunct w:val="0"/>
        <w:bidi w:val="0"/>
        <w:spacing w:line="288" w:lineRule="auto"/>
        <w:ind w:firstLine="482" w:firstLineChars="200"/>
        <w:rPr>
          <w:rFonts w:hint="eastAsia" w:ascii="仿宋" w:hAnsi="仿宋" w:eastAsia="仿宋" w:cs="仿宋"/>
          <w:b/>
          <w:bCs/>
          <w:iCs/>
          <w:color w:val="auto"/>
          <w:sz w:val="24"/>
        </w:rPr>
      </w:pPr>
      <w:r>
        <w:rPr>
          <w:rFonts w:hint="eastAsia" w:ascii="仿宋" w:hAnsi="仿宋" w:eastAsia="仿宋"/>
          <w:b/>
          <w:bCs/>
          <w:iCs/>
          <w:color w:val="auto"/>
          <w:sz w:val="24"/>
        </w:rPr>
        <w:t>2.</w:t>
      </w:r>
      <w:r>
        <w:rPr>
          <w:rFonts w:hint="eastAsia" w:ascii="仿宋" w:hAnsi="仿宋" w:eastAsia="仿宋"/>
          <w:b/>
          <w:bCs/>
          <w:iCs/>
          <w:color w:val="auto"/>
          <w:sz w:val="24"/>
          <w:lang w:val="en-US" w:eastAsia="zh-CN"/>
        </w:rPr>
        <w:t>2</w:t>
      </w:r>
      <w:r>
        <w:rPr>
          <w:rFonts w:hint="eastAsia" w:ascii="仿宋" w:hAnsi="仿宋" w:eastAsia="仿宋"/>
          <w:b/>
          <w:bCs/>
          <w:iCs/>
          <w:color w:val="auto"/>
          <w:sz w:val="24"/>
        </w:rPr>
        <w:t>（技术分</w:t>
      </w:r>
      <w:r>
        <w:rPr>
          <w:rFonts w:hint="eastAsia" w:ascii="仿宋" w:hAnsi="仿宋" w:eastAsia="仿宋"/>
          <w:b/>
          <w:bCs/>
          <w:iCs/>
          <w:color w:val="auto"/>
          <w:sz w:val="24"/>
          <w:lang w:val="en-US" w:eastAsia="zh-CN"/>
        </w:rPr>
        <w:t>7</w:t>
      </w:r>
      <w:r>
        <w:rPr>
          <w:rFonts w:hint="eastAsia" w:ascii="仿宋" w:hAnsi="仿宋" w:eastAsia="仿宋"/>
          <w:b/>
          <w:bCs/>
          <w:iCs/>
          <w:color w:val="auto"/>
          <w:sz w:val="24"/>
        </w:rPr>
        <w:t>0分）</w:t>
      </w:r>
      <w:r>
        <w:rPr>
          <w:rFonts w:hint="eastAsia" w:ascii="仿宋" w:hAnsi="仿宋" w:eastAsia="仿宋"/>
          <w:b/>
          <w:bCs/>
          <w:color w:val="auto"/>
          <w:sz w:val="24"/>
          <w:lang w:eastAsia="zh-CN"/>
        </w:rPr>
        <w:t>标段2、</w:t>
      </w:r>
      <w:r>
        <w:rPr>
          <w:rFonts w:hint="eastAsia" w:ascii="仿宋" w:hAnsi="仿宋" w:eastAsia="仿宋"/>
          <w:b/>
          <w:bCs/>
          <w:color w:val="auto"/>
          <w:sz w:val="24"/>
          <w:highlight w:val="none"/>
          <w:lang w:val="en-US" w:eastAsia="zh-CN"/>
        </w:rPr>
        <w:t>5、</w:t>
      </w:r>
      <w:r>
        <w:rPr>
          <w:rFonts w:hint="eastAsia" w:ascii="仿宋" w:hAnsi="仿宋" w:eastAsia="仿宋"/>
          <w:b/>
          <w:bCs/>
          <w:color w:val="auto"/>
          <w:sz w:val="24"/>
          <w:lang w:eastAsia="zh-CN"/>
        </w:rPr>
        <w:t>16、21</w:t>
      </w:r>
    </w:p>
    <w:tbl>
      <w:tblPr>
        <w:tblStyle w:val="27"/>
        <w:tblW w:w="5052"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7580"/>
        <w:gridCol w:w="713"/>
      </w:tblGrid>
      <w:tr w14:paraId="6301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pct"/>
            <w:vAlign w:val="center"/>
          </w:tcPr>
          <w:p w14:paraId="5705821B">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评分指标</w:t>
            </w:r>
          </w:p>
        </w:tc>
        <w:tc>
          <w:tcPr>
            <w:tcW w:w="3988" w:type="pct"/>
            <w:vAlign w:val="center"/>
          </w:tcPr>
          <w:p w14:paraId="24419EF6">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评分描述</w:t>
            </w:r>
          </w:p>
        </w:tc>
        <w:tc>
          <w:tcPr>
            <w:tcW w:w="375" w:type="pct"/>
            <w:vAlign w:val="center"/>
          </w:tcPr>
          <w:p w14:paraId="5AEAD28C">
            <w:pPr>
              <w:kinsoku/>
              <w:overflowPunct/>
              <w:topLinePunct w:val="0"/>
              <w:bidi w:val="0"/>
              <w:spacing w:line="288" w:lineRule="auto"/>
              <w:jc w:val="center"/>
              <w:rPr>
                <w:rFonts w:ascii="仿宋" w:hAnsi="仿宋" w:eastAsia="仿宋" w:cs="仿宋"/>
                <w:b/>
                <w:bCs/>
                <w:color w:val="000000"/>
                <w:sz w:val="24"/>
              </w:rPr>
            </w:pPr>
            <w:r>
              <w:rPr>
                <w:rFonts w:hint="eastAsia" w:ascii="仿宋" w:hAnsi="仿宋" w:eastAsia="仿宋" w:cs="仿宋"/>
                <w:b/>
                <w:bCs/>
                <w:color w:val="000000"/>
                <w:sz w:val="24"/>
              </w:rPr>
              <w:t>分值</w:t>
            </w:r>
          </w:p>
        </w:tc>
      </w:tr>
      <w:tr w14:paraId="7899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pct"/>
            <w:vMerge w:val="restart"/>
            <w:vAlign w:val="center"/>
          </w:tcPr>
          <w:p w14:paraId="10545200">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投标人综合实力</w:t>
            </w:r>
          </w:p>
        </w:tc>
        <w:tc>
          <w:tcPr>
            <w:tcW w:w="3988" w:type="pct"/>
            <w:vAlign w:val="center"/>
          </w:tcPr>
          <w:p w14:paraId="58020BA8">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1.对投标人建立的企业管理制度，包括企业文化、企业组织结构、企业各项规章制度、企业管理流程等进行评价打分。(本项分值设置为3,2,1,0.5,0分)</w:t>
            </w:r>
          </w:p>
          <w:p w14:paraId="2F66C08A">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投标人对照要求自行组织材料，无材料的，不得分。</w:t>
            </w:r>
          </w:p>
        </w:tc>
        <w:tc>
          <w:tcPr>
            <w:tcW w:w="375" w:type="pct"/>
            <w:vAlign w:val="center"/>
          </w:tcPr>
          <w:p w14:paraId="5907082B">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03CD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455D14B">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60E901A9">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2.对投标人质量保证体系的规范性、全面性、有效性、可行性进行评价打分。(本项分值设置为3,2,1,0.5,0分)</w:t>
            </w:r>
          </w:p>
          <w:p w14:paraId="7917BB3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根据投标人提供的制度、人员、设备设施、场所、认证情况、质控检查等材料进行认定，无材料的，不得分。</w:t>
            </w:r>
          </w:p>
        </w:tc>
        <w:tc>
          <w:tcPr>
            <w:tcW w:w="375" w:type="pct"/>
            <w:vAlign w:val="center"/>
          </w:tcPr>
          <w:p w14:paraId="366B000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033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429D03F0">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1B3C1374">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对投标人运营情况及效率，如经营能力和水平、经营产品的优异性等进行评价打分。(本项分值设置为3,2,1,0.5,0分)</w:t>
            </w:r>
          </w:p>
          <w:p w14:paraId="45F77B3B">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根据投标人提供的合同票据、产品情况等材料进行认定，无材料的，不得分。</w:t>
            </w:r>
          </w:p>
        </w:tc>
        <w:tc>
          <w:tcPr>
            <w:tcW w:w="375" w:type="pct"/>
            <w:vAlign w:val="center"/>
          </w:tcPr>
          <w:p w14:paraId="5756FBDA">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3</w:t>
            </w:r>
          </w:p>
        </w:tc>
      </w:tr>
      <w:tr w14:paraId="12D9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4CCFD5A1">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rPr>
              <w:t>投标人资信</w:t>
            </w:r>
          </w:p>
        </w:tc>
        <w:tc>
          <w:tcPr>
            <w:tcW w:w="3988" w:type="pct"/>
            <w:vAlign w:val="center"/>
          </w:tcPr>
          <w:p w14:paraId="24EE3B8C">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具备一级代理资格或者厂家直销得</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分；二级代理得2分；其他得1分。</w:t>
            </w:r>
          </w:p>
          <w:p w14:paraId="39521FB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依据各级授权书进行认定，未提交材料或提交材料不符合要求的，不得分。</w:t>
            </w:r>
          </w:p>
        </w:tc>
        <w:tc>
          <w:tcPr>
            <w:tcW w:w="375" w:type="pct"/>
            <w:vAlign w:val="center"/>
          </w:tcPr>
          <w:p w14:paraId="34F5D367">
            <w:pPr>
              <w:kinsoku/>
              <w:overflowPunct/>
              <w:topLinePunct w:val="0"/>
              <w:bidi w:val="0"/>
              <w:adjustRightInd w:val="0"/>
              <w:spacing w:line="288" w:lineRule="auto"/>
              <w:jc w:val="center"/>
              <w:rPr>
                <w:rFonts w:hint="default"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17B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11E65432">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市场占有率</w:t>
            </w:r>
          </w:p>
        </w:tc>
        <w:tc>
          <w:tcPr>
            <w:tcW w:w="3988" w:type="pct"/>
            <w:vAlign w:val="center"/>
          </w:tcPr>
          <w:p w14:paraId="4B2543D6">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202</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年1月1日以来医疗机构使用证明材料（发票及供货合同书，目录内半数产品覆盖为准），每提供1家医院得1分，最高分值为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分；未提交材料或提交材料不符合要求的，不得分。</w:t>
            </w:r>
          </w:p>
        </w:tc>
        <w:tc>
          <w:tcPr>
            <w:tcW w:w="375" w:type="pct"/>
            <w:vAlign w:val="center"/>
          </w:tcPr>
          <w:p w14:paraId="5B49394D">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3</w:t>
            </w:r>
          </w:p>
        </w:tc>
      </w:tr>
      <w:tr w14:paraId="23B2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5D17B7E8">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参数要求</w:t>
            </w:r>
          </w:p>
        </w:tc>
        <w:tc>
          <w:tcPr>
            <w:tcW w:w="3988" w:type="pct"/>
            <w:vAlign w:val="center"/>
          </w:tcPr>
          <w:p w14:paraId="60D72727">
            <w:pPr>
              <w:kinsoku/>
              <w:overflowPunct/>
              <w:topLinePunct w:val="0"/>
              <w:bidi w:val="0"/>
              <w:adjustRightInd w:val="0"/>
              <w:spacing w:line="288" w:lineRule="auto"/>
              <w:jc w:val="left"/>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所投产品和服务技术指标的符合性（对应于招标文件第三章-8-三、参数要求）：满足招标文件要求的得24分，打“★”号的指标为实质性指标不允许出现未响应，如出现未响应则作无效投标处理；打“▲”号的指标为主要功能、配置每有一项未响应的扣</w:t>
            </w:r>
            <w:r>
              <w:rPr>
                <w:rFonts w:hint="eastAsia" w:ascii="仿宋" w:hAnsi="仿宋" w:eastAsia="仿宋" w:cs="仿宋"/>
                <w:color w:val="000000"/>
                <w:sz w:val="22"/>
                <w:szCs w:val="18"/>
                <w:lang w:val="en-US" w:eastAsia="zh-CN"/>
              </w:rPr>
              <w:t>4</w:t>
            </w:r>
            <w:r>
              <w:rPr>
                <w:rFonts w:hint="eastAsia" w:ascii="仿宋" w:hAnsi="仿宋" w:eastAsia="仿宋" w:cs="仿宋"/>
                <w:color w:val="000000"/>
                <w:sz w:val="22"/>
                <w:szCs w:val="18"/>
              </w:rPr>
              <w:t>分，扣完为止；一般指标每有一项未响应的扣</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分，扣完为止。投标人应当对照需求一一提供说明书、注册证、合格证、承诺函、指定网页截图等有效证明材料，否则视作未响应。</w:t>
            </w:r>
          </w:p>
        </w:tc>
        <w:tc>
          <w:tcPr>
            <w:tcW w:w="375" w:type="pct"/>
            <w:vAlign w:val="center"/>
          </w:tcPr>
          <w:p w14:paraId="4A790D1F">
            <w:pPr>
              <w:kinsoku/>
              <w:overflowPunct/>
              <w:topLinePunct w:val="0"/>
              <w:bidi w:val="0"/>
              <w:adjustRightInd w:val="0"/>
              <w:spacing w:line="288" w:lineRule="auto"/>
              <w:jc w:val="center"/>
              <w:rPr>
                <w:rFonts w:hint="eastAsia" w:ascii="仿宋" w:hAnsi="仿宋" w:eastAsia="仿宋" w:cs="仿宋"/>
                <w:color w:val="000000"/>
                <w:sz w:val="22"/>
                <w:szCs w:val="18"/>
                <w:highlight w:val="yellow"/>
              </w:rPr>
            </w:pPr>
            <w:r>
              <w:rPr>
                <w:rFonts w:hint="eastAsia" w:ascii="仿宋" w:hAnsi="仿宋" w:eastAsia="仿宋" w:cs="仿宋"/>
                <w:color w:val="000000"/>
                <w:sz w:val="22"/>
                <w:szCs w:val="18"/>
              </w:rPr>
              <w:t>24</w:t>
            </w:r>
          </w:p>
        </w:tc>
      </w:tr>
      <w:tr w14:paraId="5750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614790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产品质量</w:t>
            </w:r>
          </w:p>
        </w:tc>
        <w:tc>
          <w:tcPr>
            <w:tcW w:w="3988" w:type="pct"/>
            <w:vAlign w:val="center"/>
          </w:tcPr>
          <w:p w14:paraId="47D0B65D">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1.对所投产品的性能稳定性、准确性和均一性进行评价打分。根据说明书、注册证书，质量标准、诊疗规范或诊疗指南或样品等有效证明材料进行认定。(本项分值设置为4,3,2,1,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2003CE55">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4</w:t>
            </w:r>
          </w:p>
        </w:tc>
      </w:tr>
      <w:tr w14:paraId="0E8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71DC06B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011B9BE7">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2.对所投产品的操作便捷性、临床实用性进行评价打分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11BA3759">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7B24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3D6AA7C3">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25E8B31A">
            <w:pPr>
              <w:kinsoku/>
              <w:overflowPunct/>
              <w:topLinePunct w:val="0"/>
              <w:bidi w:val="0"/>
              <w:adjustRightInd w:val="0"/>
              <w:spacing w:line="288" w:lineRule="auto"/>
              <w:jc w:val="left"/>
              <w:rPr>
                <w:rFonts w:hint="eastAsia" w:ascii="仿宋" w:hAnsi="仿宋" w:eastAsia="仿宋" w:cs="仿宋"/>
                <w:color w:val="000000"/>
                <w:sz w:val="22"/>
                <w:szCs w:val="18"/>
                <w:lang w:eastAsia="zh-CN"/>
              </w:rPr>
            </w:pPr>
            <w:r>
              <w:rPr>
                <w:rFonts w:hint="eastAsia" w:ascii="仿宋" w:hAnsi="仿宋" w:eastAsia="仿宋" w:cs="仿宋"/>
                <w:color w:val="000000"/>
                <w:sz w:val="22"/>
                <w:szCs w:val="18"/>
              </w:rPr>
              <w:t>3.对所投产品的线性和范围、有效期长短等方面进行评价打分</w:t>
            </w:r>
            <w:r>
              <w:rPr>
                <w:rFonts w:hint="eastAsia" w:ascii="仿宋" w:hAnsi="仿宋" w:eastAsia="仿宋" w:cs="仿宋"/>
                <w:color w:val="000000"/>
                <w:sz w:val="22"/>
                <w:szCs w:val="18"/>
                <w:lang w:eastAsia="zh-CN"/>
              </w:rPr>
              <w:t>。</w:t>
            </w:r>
            <w:r>
              <w:rPr>
                <w:rFonts w:hint="eastAsia" w:ascii="仿宋" w:hAnsi="仿宋" w:eastAsia="仿宋" w:cs="仿宋"/>
                <w:color w:val="000000"/>
                <w:sz w:val="22"/>
                <w:szCs w:val="18"/>
              </w:rPr>
              <w:t>根据说明书、注册证书，质量标准、诊疗规范或诊疗指南或样品等有效证明材料进行认定。(本项分值设置为4,3,2,1,</w:t>
            </w:r>
            <w:r>
              <w:rPr>
                <w:rFonts w:hint="eastAsia" w:ascii="仿宋" w:hAnsi="仿宋" w:eastAsia="仿宋" w:cs="仿宋"/>
                <w:color w:val="000000"/>
                <w:sz w:val="22"/>
                <w:szCs w:val="18"/>
                <w:lang w:val="en-US" w:eastAsia="zh-CN"/>
              </w:rPr>
              <w:t>0.5,</w:t>
            </w:r>
            <w:r>
              <w:rPr>
                <w:rFonts w:hint="eastAsia" w:ascii="仿宋" w:hAnsi="仿宋" w:eastAsia="仿宋" w:cs="仿宋"/>
                <w:color w:val="000000"/>
                <w:sz w:val="22"/>
                <w:szCs w:val="18"/>
              </w:rPr>
              <w:t>0分)。</w:t>
            </w:r>
          </w:p>
        </w:tc>
        <w:tc>
          <w:tcPr>
            <w:tcW w:w="375" w:type="pct"/>
            <w:vAlign w:val="center"/>
          </w:tcPr>
          <w:p w14:paraId="72208471">
            <w:pPr>
              <w:kinsoku/>
              <w:overflowPunct/>
              <w:topLinePunct w:val="0"/>
              <w:bidi w:val="0"/>
              <w:adjustRightInd w:val="0"/>
              <w:spacing w:line="288" w:lineRule="auto"/>
              <w:jc w:val="center"/>
              <w:rPr>
                <w:rFonts w:hint="eastAsia" w:ascii="仿宋" w:hAnsi="仿宋" w:eastAsia="仿宋" w:cs="仿宋"/>
                <w:color w:val="000000"/>
                <w:sz w:val="22"/>
                <w:szCs w:val="18"/>
                <w:lang w:val="en-US" w:eastAsia="zh-CN"/>
              </w:rPr>
            </w:pPr>
            <w:r>
              <w:rPr>
                <w:rFonts w:hint="eastAsia" w:ascii="仿宋" w:hAnsi="仿宋" w:eastAsia="仿宋" w:cs="仿宋"/>
                <w:color w:val="000000"/>
                <w:sz w:val="22"/>
                <w:szCs w:val="18"/>
                <w:lang w:val="en-US" w:eastAsia="zh-CN"/>
              </w:rPr>
              <w:t>4</w:t>
            </w:r>
          </w:p>
        </w:tc>
      </w:tr>
      <w:tr w14:paraId="3389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35" w:type="pct"/>
            <w:vAlign w:val="center"/>
          </w:tcPr>
          <w:p w14:paraId="270C7A0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配送服务</w:t>
            </w:r>
          </w:p>
        </w:tc>
        <w:tc>
          <w:tcPr>
            <w:tcW w:w="3988" w:type="pct"/>
            <w:vAlign w:val="center"/>
          </w:tcPr>
          <w:p w14:paraId="0F7630C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供应商拥有自备（公司内或者旗下）的冷链车得3分，供应商拥有自备（公司内或者旗下）的冷链箱的得2分，其他冷链方式（快递、物流合作等其他）得1分，提供全程冷链相关证明材料，未提供不得分。</w:t>
            </w:r>
          </w:p>
        </w:tc>
        <w:tc>
          <w:tcPr>
            <w:tcW w:w="375" w:type="pct"/>
            <w:vAlign w:val="center"/>
          </w:tcPr>
          <w:p w14:paraId="621EDB74">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2EA2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restart"/>
            <w:vAlign w:val="center"/>
          </w:tcPr>
          <w:p w14:paraId="0D49C797">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售后服务</w:t>
            </w:r>
          </w:p>
        </w:tc>
        <w:tc>
          <w:tcPr>
            <w:tcW w:w="3988" w:type="pct"/>
            <w:vAlign w:val="center"/>
          </w:tcPr>
          <w:p w14:paraId="1FBEF2C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000000"/>
                <w:sz w:val="22"/>
                <w:szCs w:val="18"/>
                <w:lang w:eastAsia="zh-CN"/>
              </w:rPr>
              <w:t>为</w:t>
            </w:r>
            <w:r>
              <w:rPr>
                <w:rFonts w:hint="eastAsia" w:ascii="仿宋" w:hAnsi="仿宋" w:eastAsia="仿宋" w:cs="仿宋"/>
                <w:color w:val="000000"/>
                <w:sz w:val="22"/>
                <w:szCs w:val="18"/>
              </w:rPr>
              <w:t>2,1.5,1,0.5,0分)</w:t>
            </w:r>
          </w:p>
        </w:tc>
        <w:tc>
          <w:tcPr>
            <w:tcW w:w="375" w:type="pct"/>
            <w:vAlign w:val="center"/>
          </w:tcPr>
          <w:p w14:paraId="5A27B710">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2</w:t>
            </w:r>
          </w:p>
        </w:tc>
      </w:tr>
      <w:tr w14:paraId="7DBD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20016418">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2B565D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2.提供能满足采购人退换货要求的得</w:t>
            </w:r>
            <w:r>
              <w:rPr>
                <w:rFonts w:hint="eastAsia" w:ascii="仿宋" w:hAnsi="仿宋" w:eastAsia="仿宋" w:cs="仿宋"/>
                <w:color w:val="000000"/>
                <w:sz w:val="22"/>
                <w:szCs w:val="18"/>
                <w:lang w:val="en-US" w:eastAsia="zh-CN"/>
              </w:rPr>
              <w:t>2</w:t>
            </w:r>
            <w:r>
              <w:rPr>
                <w:rFonts w:hint="eastAsia" w:ascii="仿宋" w:hAnsi="仿宋" w:eastAsia="仿宋" w:cs="仿宋"/>
                <w:color w:val="000000"/>
                <w:sz w:val="22"/>
                <w:szCs w:val="18"/>
              </w:rPr>
              <w:t>分，不提供相关承诺不得分。</w:t>
            </w:r>
          </w:p>
        </w:tc>
        <w:tc>
          <w:tcPr>
            <w:tcW w:w="375" w:type="pct"/>
            <w:vAlign w:val="center"/>
          </w:tcPr>
          <w:p w14:paraId="0FB0B7A1">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lang w:val="en-US" w:eastAsia="zh-CN"/>
              </w:rPr>
              <w:t>2</w:t>
            </w:r>
          </w:p>
        </w:tc>
      </w:tr>
      <w:tr w14:paraId="1A67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141110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769D65F6">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3.制定配送方案，保障产品的及时送达。根据配送方案的可行性、完整性、保障应急措施的有效性进行打分。(本项分值设置为</w:t>
            </w:r>
            <w:r>
              <w:rPr>
                <w:rFonts w:hint="eastAsia" w:ascii="仿宋" w:hAnsi="仿宋" w:eastAsia="仿宋" w:cs="仿宋"/>
                <w:color w:val="000000"/>
                <w:sz w:val="22"/>
                <w:szCs w:val="18"/>
                <w:lang w:val="en-US" w:eastAsia="zh-CN"/>
              </w:rPr>
              <w:t>3</w:t>
            </w:r>
            <w:r>
              <w:rPr>
                <w:rFonts w:hint="eastAsia" w:ascii="仿宋" w:hAnsi="仿宋" w:eastAsia="仿宋" w:cs="仿宋"/>
                <w:color w:val="000000"/>
                <w:sz w:val="22"/>
                <w:szCs w:val="18"/>
              </w:rPr>
              <w:t>,2,1.5,1,0.5,0分)</w:t>
            </w:r>
          </w:p>
          <w:p w14:paraId="14519320">
            <w:pPr>
              <w:kinsoku/>
              <w:overflowPunct/>
              <w:topLinePunct w:val="0"/>
              <w:bidi w:val="0"/>
              <w:adjustRightInd w:val="0"/>
              <w:spacing w:line="288" w:lineRule="auto"/>
              <w:jc w:val="left"/>
              <w:rPr>
                <w:rFonts w:hint="eastAsia" w:ascii="仿宋" w:hAnsi="仿宋" w:eastAsia="仿宋" w:cs="仿宋"/>
                <w:color w:val="000000"/>
                <w:sz w:val="22"/>
                <w:szCs w:val="18"/>
              </w:rPr>
            </w:pPr>
            <w:r>
              <w:rPr>
                <w:rFonts w:hint="eastAsia" w:ascii="仿宋" w:hAnsi="仿宋" w:eastAsia="仿宋" w:cs="仿宋"/>
                <w:color w:val="000000"/>
                <w:sz w:val="22"/>
                <w:szCs w:val="18"/>
              </w:rPr>
              <w:t>不提供具体、可行配送方案的不得分。</w:t>
            </w:r>
          </w:p>
        </w:tc>
        <w:tc>
          <w:tcPr>
            <w:tcW w:w="375" w:type="pct"/>
            <w:vAlign w:val="center"/>
          </w:tcPr>
          <w:p w14:paraId="34EBC8CB">
            <w:pPr>
              <w:kinsoku/>
              <w:overflowPunct/>
              <w:topLinePunct w:val="0"/>
              <w:bidi w:val="0"/>
              <w:adjustRightInd w:val="0"/>
              <w:spacing w:line="288" w:lineRule="auto"/>
              <w:jc w:val="center"/>
              <w:rPr>
                <w:rFonts w:hint="eastAsia" w:ascii="仿宋" w:hAnsi="仿宋" w:eastAsia="仿宋" w:cs="仿宋"/>
                <w:color w:val="000000"/>
                <w:sz w:val="22"/>
                <w:szCs w:val="18"/>
              </w:rPr>
            </w:pPr>
            <w:r>
              <w:rPr>
                <w:rFonts w:hint="eastAsia" w:ascii="仿宋" w:hAnsi="仿宋" w:eastAsia="仿宋" w:cs="仿宋"/>
                <w:color w:val="000000"/>
                <w:sz w:val="22"/>
                <w:szCs w:val="18"/>
                <w:lang w:val="en-US" w:eastAsia="zh-CN"/>
              </w:rPr>
              <w:t>3</w:t>
            </w:r>
          </w:p>
        </w:tc>
      </w:tr>
      <w:tr w14:paraId="79F2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Merge w:val="continue"/>
            <w:vAlign w:val="center"/>
          </w:tcPr>
          <w:p w14:paraId="0437E8A9">
            <w:pPr>
              <w:kinsoku/>
              <w:overflowPunct/>
              <w:topLinePunct w:val="0"/>
              <w:bidi w:val="0"/>
              <w:adjustRightInd w:val="0"/>
              <w:spacing w:line="288" w:lineRule="auto"/>
              <w:ind w:firstLine="440"/>
              <w:jc w:val="center"/>
              <w:rPr>
                <w:rFonts w:ascii="仿宋" w:hAnsi="仿宋" w:eastAsia="仿宋" w:cs="仿宋"/>
                <w:color w:val="000000"/>
                <w:sz w:val="22"/>
                <w:szCs w:val="18"/>
              </w:rPr>
            </w:pPr>
          </w:p>
        </w:tc>
        <w:tc>
          <w:tcPr>
            <w:tcW w:w="3988" w:type="pct"/>
            <w:vAlign w:val="center"/>
          </w:tcPr>
          <w:p w14:paraId="569222F9">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4.提供能满足应急或突发事件需求的方案，依据方案的可行性、合理性、科学性等进行评分。(本项分值设置为3,2,1,0.5,0分)</w:t>
            </w:r>
          </w:p>
        </w:tc>
        <w:tc>
          <w:tcPr>
            <w:tcW w:w="375" w:type="pct"/>
            <w:vAlign w:val="center"/>
          </w:tcPr>
          <w:p w14:paraId="4C95915B">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3</w:t>
            </w:r>
          </w:p>
        </w:tc>
      </w:tr>
      <w:tr w14:paraId="35A9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5" w:type="pct"/>
            <w:vAlign w:val="center"/>
          </w:tcPr>
          <w:p w14:paraId="6C72C648">
            <w:pPr>
              <w:kinsoku/>
              <w:overflowPunct/>
              <w:topLinePunct w:val="0"/>
              <w:bidi w:val="0"/>
              <w:adjustRightInd w:val="0"/>
              <w:spacing w:line="288" w:lineRule="auto"/>
              <w:jc w:val="center"/>
              <w:rPr>
                <w:rFonts w:ascii="仿宋" w:hAnsi="仿宋" w:eastAsia="仿宋" w:cs="仿宋"/>
                <w:color w:val="000000"/>
                <w:sz w:val="22"/>
                <w:szCs w:val="18"/>
              </w:rPr>
            </w:pPr>
            <w:r>
              <w:rPr>
                <w:rFonts w:hint="eastAsia" w:ascii="仿宋" w:hAnsi="仿宋" w:eastAsia="仿宋" w:cs="仿宋"/>
                <w:color w:val="000000"/>
                <w:sz w:val="22"/>
                <w:szCs w:val="18"/>
              </w:rPr>
              <w:t>其他优惠条件</w:t>
            </w:r>
          </w:p>
        </w:tc>
        <w:tc>
          <w:tcPr>
            <w:tcW w:w="3988" w:type="pct"/>
            <w:vAlign w:val="center"/>
          </w:tcPr>
          <w:p w14:paraId="5348B940">
            <w:pPr>
              <w:kinsoku/>
              <w:overflowPunct/>
              <w:topLinePunct w:val="0"/>
              <w:bidi w:val="0"/>
              <w:adjustRightInd w:val="0"/>
              <w:spacing w:line="288" w:lineRule="auto"/>
              <w:jc w:val="left"/>
              <w:rPr>
                <w:rFonts w:ascii="仿宋" w:hAnsi="仿宋" w:eastAsia="仿宋" w:cs="仿宋"/>
                <w:color w:val="000000"/>
                <w:sz w:val="22"/>
                <w:szCs w:val="18"/>
              </w:rPr>
            </w:pPr>
            <w:r>
              <w:rPr>
                <w:rFonts w:hint="eastAsia" w:ascii="仿宋" w:hAnsi="仿宋" w:eastAsia="仿宋" w:cs="仿宋"/>
                <w:color w:val="000000"/>
                <w:sz w:val="22"/>
                <w:szCs w:val="18"/>
              </w:rPr>
              <w:t>根据投标人提供的GCP、临床试验的合作</w:t>
            </w:r>
            <w:r>
              <w:rPr>
                <w:rFonts w:hint="eastAsia" w:ascii="仿宋" w:hAnsi="仿宋" w:eastAsia="仿宋" w:cs="仿宋"/>
                <w:color w:val="000000"/>
                <w:sz w:val="22"/>
                <w:szCs w:val="18"/>
                <w:lang w:eastAsia="zh-CN"/>
              </w:rPr>
              <w:t>项目</w:t>
            </w:r>
            <w:r>
              <w:rPr>
                <w:rFonts w:hint="eastAsia" w:ascii="仿宋" w:hAnsi="仿宋" w:eastAsia="仿宋" w:cs="仿宋"/>
                <w:color w:val="000000"/>
                <w:sz w:val="22"/>
                <w:szCs w:val="18"/>
              </w:rPr>
              <w:t>或其他实质性优惠条件的力度大小、可行性、合规性、对采购人是否具有实际意义等进行综合评审打分。(本项分值设置为</w:t>
            </w:r>
            <w:r>
              <w:rPr>
                <w:rFonts w:hint="eastAsia" w:ascii="仿宋" w:hAnsi="仿宋" w:eastAsia="仿宋" w:cs="仿宋"/>
                <w:color w:val="000000"/>
                <w:sz w:val="22"/>
                <w:szCs w:val="18"/>
                <w:lang w:val="en-US" w:eastAsia="zh-CN"/>
              </w:rPr>
              <w:t>5</w:t>
            </w:r>
            <w:r>
              <w:rPr>
                <w:rFonts w:hint="eastAsia" w:ascii="仿宋" w:hAnsi="仿宋" w:eastAsia="仿宋" w:cs="仿宋"/>
                <w:color w:val="000000"/>
                <w:sz w:val="22"/>
                <w:szCs w:val="18"/>
              </w:rPr>
              <w:t>,4,3,2,1,0分)</w:t>
            </w:r>
          </w:p>
        </w:tc>
        <w:tc>
          <w:tcPr>
            <w:tcW w:w="375" w:type="pct"/>
            <w:vAlign w:val="center"/>
          </w:tcPr>
          <w:p w14:paraId="4F096858">
            <w:pPr>
              <w:kinsoku/>
              <w:overflowPunct/>
              <w:topLinePunct w:val="0"/>
              <w:bidi w:val="0"/>
              <w:adjustRightInd w:val="0"/>
              <w:spacing w:line="288" w:lineRule="auto"/>
              <w:jc w:val="center"/>
              <w:rPr>
                <w:rFonts w:hint="eastAsia" w:ascii="仿宋" w:hAnsi="仿宋" w:eastAsia="仿宋" w:cs="仿宋"/>
                <w:color w:val="000000"/>
                <w:sz w:val="22"/>
                <w:szCs w:val="18"/>
                <w:lang w:eastAsia="zh-CN"/>
              </w:rPr>
            </w:pPr>
            <w:r>
              <w:rPr>
                <w:rFonts w:hint="eastAsia" w:ascii="仿宋" w:hAnsi="仿宋" w:eastAsia="仿宋" w:cs="仿宋"/>
                <w:color w:val="000000"/>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6CBB8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left="479" w:leftChars="228" w:firstLine="0" w:firstLineChars="0"/>
        <w:rPr>
          <w:rFonts w:hint="eastAsia" w:ascii="仿宋" w:hAnsi="仿宋" w:eastAsia="仿宋"/>
          <w:bCs/>
          <w:iCs/>
          <w:color w:val="auto"/>
          <w:sz w:val="24"/>
        </w:rPr>
      </w:pPr>
      <w:r>
        <w:rPr>
          <w:rFonts w:hint="eastAsia" w:ascii="仿宋" w:hAnsi="仿宋" w:eastAsia="仿宋"/>
          <w:bCs/>
          <w:iCs/>
          <w:color w:val="auto"/>
          <w:sz w:val="24"/>
        </w:rPr>
        <w:t>即：标段1、3、7、8、9、11、15、25、29</w:t>
      </w:r>
    </w:p>
    <w:p w14:paraId="4A75A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left="479" w:leftChars="228" w:firstLine="0" w:firstLineChars="0"/>
        <w:rPr>
          <w:rFonts w:hint="eastAsia" w:ascii="仿宋" w:hAnsi="仿宋" w:eastAsia="仿宋"/>
          <w:bCs/>
          <w:iCs/>
          <w:color w:val="auto"/>
          <w:sz w:val="24"/>
        </w:rPr>
      </w:pPr>
      <w:r>
        <w:rPr>
          <w:rFonts w:hint="eastAsia" w:ascii="仿宋" w:hAnsi="仿宋" w:eastAsia="仿宋"/>
          <w:bCs/>
          <w:iCs/>
          <w:color w:val="auto"/>
          <w:sz w:val="24"/>
        </w:rPr>
        <w:t>投标报价得分=(评标基准价／投标报价)×40</w:t>
      </w:r>
    </w:p>
    <w:p w14:paraId="22AC0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bCs/>
          <w:iCs/>
          <w:color w:val="auto"/>
          <w:sz w:val="24"/>
        </w:rPr>
      </w:pPr>
      <w:r>
        <w:rPr>
          <w:rFonts w:hint="eastAsia" w:ascii="仿宋" w:hAnsi="仿宋" w:eastAsia="仿宋"/>
          <w:bCs/>
          <w:iCs/>
          <w:color w:val="auto"/>
          <w:sz w:val="24"/>
        </w:rPr>
        <w:t>标段2、5、16、21</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default" w:ascii="仿宋" w:hAnsi="仿宋" w:eastAsia="仿宋"/>
          <w:bCs/>
          <w:iCs/>
          <w:color w:val="auto"/>
          <w:sz w:val="24"/>
          <w:lang w:val="en-US" w:eastAsia="zh-CN"/>
        </w:rPr>
      </w:pPr>
      <w:r>
        <w:rPr>
          <w:rFonts w:hint="eastAsia" w:ascii="仿宋" w:hAnsi="仿宋" w:eastAsia="仿宋"/>
          <w:bCs/>
          <w:iCs/>
          <w:color w:val="auto"/>
          <w:sz w:val="24"/>
        </w:rPr>
        <w:t>投标报价得分=(评标基准价／投标报价)×</w:t>
      </w:r>
      <w:r>
        <w:rPr>
          <w:rFonts w:hint="eastAsia" w:ascii="仿宋" w:hAnsi="仿宋" w:eastAsia="仿宋"/>
          <w:bCs/>
          <w:iCs/>
          <w:color w:val="auto"/>
          <w:sz w:val="24"/>
          <w:lang w:val="en-US" w:eastAsia="zh-CN"/>
        </w:rPr>
        <w:t>3</w:t>
      </w:r>
      <w:r>
        <w:rPr>
          <w:rFonts w:hint="eastAsia" w:ascii="仿宋" w:hAnsi="仿宋" w:eastAsia="仿宋"/>
          <w:bCs/>
          <w:iCs/>
          <w:color w:val="auto"/>
          <w:sz w:val="24"/>
        </w:rPr>
        <w:t>0</w:t>
      </w: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both"/>
        <w:rPr>
          <w:rFonts w:hint="eastAsia" w:ascii="仿宋" w:hAnsi="仿宋" w:eastAsia="仿宋" w:cs="仿宋"/>
          <w:b/>
          <w:bCs/>
          <w:color w:val="auto"/>
          <w:sz w:val="44"/>
          <w:szCs w:val="40"/>
        </w:rPr>
      </w:pPr>
    </w:p>
    <w:p w14:paraId="31D8EE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5A27C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54329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452D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3A26AF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5DE29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7E27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C2D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B7F1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3097E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10C4F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9638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71DA0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0DB0D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7ADAC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4733A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1B7B8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1312"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1312;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绍兴大学附属医院2026年第一次诊断试剂采购项目（三次）</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绍兴大学附属医院2026年第一次诊断试剂采购项目（三次）</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60288"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60288;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绍兴大学附属医院2026年第一次诊断试剂采购项目（三次）</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2336"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2336;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3360"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3360;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16D9A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sz w:val="24"/>
          <w:highlight w:val="none"/>
          <w:lang w:val="en-US" w:eastAsia="zh-CN"/>
        </w:rPr>
        <w:t>12</w:t>
      </w:r>
      <w:r>
        <w:rPr>
          <w:rFonts w:hint="eastAsia" w:ascii="仿宋" w:hAnsi="仿宋" w:eastAsia="仿宋" w:cs="仿宋"/>
          <w:color w:val="auto"/>
          <w:lang w:val="zh-CN"/>
        </w:rPr>
        <w:t>.</w:t>
      </w:r>
      <w:r>
        <w:rPr>
          <w:rFonts w:hint="eastAsia" w:ascii="仿宋" w:hAnsi="仿宋" w:eastAsia="仿宋" w:cs="仿宋"/>
          <w:color w:val="auto"/>
          <w:highlight w:val="none"/>
          <w:lang w:eastAsia="zh-CN"/>
        </w:rPr>
        <w:t>参数要求</w:t>
      </w:r>
      <w:r>
        <w:rPr>
          <w:rFonts w:hint="eastAsia" w:ascii="仿宋" w:hAnsi="仿宋" w:eastAsia="仿宋" w:cs="仿宋"/>
          <w:color w:val="auto"/>
          <w:highlight w:val="none"/>
        </w:rPr>
        <w:t>相关</w:t>
      </w:r>
      <w:r>
        <w:rPr>
          <w:rFonts w:hint="eastAsia" w:ascii="仿宋" w:hAnsi="仿宋" w:eastAsia="仿宋" w:cs="仿宋"/>
          <w:color w:val="auto"/>
          <w:highlight w:val="none"/>
          <w:lang w:eastAsia="zh-CN"/>
        </w:rPr>
        <w:t>资料（如有）</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6</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40"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4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spacing w:line="240" w:lineRule="auto"/>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spacing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spacing w:line="240" w:lineRule="auto"/>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spacing w:line="240" w:lineRule="auto"/>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spacing w:line="240" w:lineRule="auto"/>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spacing w:line="240" w:lineRule="auto"/>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spacing w:line="240" w:lineRule="auto"/>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spacing w:line="240" w:lineRule="auto"/>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spacing w:line="240" w:lineRule="auto"/>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spacing w:line="240" w:lineRule="auto"/>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spacing w:line="240" w:lineRule="auto"/>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spacing w:line="240" w:lineRule="auto"/>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line="240" w:lineRule="auto"/>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5"/>
        <w:gridCol w:w="7180"/>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18"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line="240"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18"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line="240" w:lineRule="auto"/>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line="240" w:lineRule="auto"/>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line="240" w:lineRule="auto"/>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18"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18"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18" w:type="pct"/>
            <w:tcBorders>
              <w:top w:val="single" w:color="auto" w:sz="4" w:space="0"/>
              <w:left w:val="single" w:color="auto" w:sz="4" w:space="0"/>
              <w:bottom w:val="single" w:color="auto" w:sz="4" w:space="0"/>
              <w:right w:val="single" w:color="auto" w:sz="4" w:space="0"/>
            </w:tcBorders>
            <w:noWrap/>
            <w:vAlign w:val="center"/>
          </w:tcPr>
          <w:p w14:paraId="00DE6E3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各标段技术参数中含有基本要求条款需全部响应。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18"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各标段包含所有相关配套设备、耗材、质控品、校准品、定标液、样品杯等，以保证临床使用，均包含在投标报价中，不单独报价（流式细胞补充试剂标段外）。</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31F6D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3200ED82">
            <w:pPr>
              <w:snapToGrid w:val="0"/>
              <w:spacing w:before="50" w:after="50"/>
              <w:jc w:val="center"/>
              <w:rPr>
                <w:rFonts w:hint="default"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6</w:t>
            </w:r>
          </w:p>
        </w:tc>
        <w:tc>
          <w:tcPr>
            <w:tcW w:w="3818" w:type="pct"/>
            <w:tcBorders>
              <w:top w:val="single" w:color="auto" w:sz="4" w:space="0"/>
              <w:left w:val="single" w:color="auto" w:sz="4" w:space="0"/>
              <w:bottom w:val="single" w:color="auto" w:sz="4" w:space="0"/>
              <w:right w:val="single" w:color="auto" w:sz="4" w:space="0"/>
            </w:tcBorders>
            <w:noWrap/>
            <w:vAlign w:val="center"/>
          </w:tcPr>
          <w:p w14:paraId="3A8D594B">
            <w:pPr>
              <w:snapToGrid w:val="0"/>
              <w:spacing w:before="50" w:after="50"/>
              <w:jc w:val="left"/>
              <w:rPr>
                <w:rFonts w:hint="eastAsia" w:ascii="仿宋" w:hAnsi="仿宋" w:eastAsia="仿宋" w:cs="仿宋"/>
                <w:color w:val="auto"/>
                <w:szCs w:val="21"/>
                <w:lang w:val="en-US" w:eastAsia="zh-CN"/>
              </w:rPr>
            </w:pPr>
            <w:r>
              <w:rPr>
                <w:rFonts w:hint="eastAsia" w:ascii="仿宋" w:hAnsi="仿宋" w:eastAsia="仿宋" w:cs="仿宋"/>
                <w:color w:val="auto"/>
                <w:szCs w:val="21"/>
                <w:lang w:val="en-US" w:eastAsia="zh-CN"/>
              </w:rPr>
              <w:t>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14A64287">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6FC539">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84"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18"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line="24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E0572F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0209773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79FA60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7BB9C51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10395D9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A6B76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C8C38F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EA6233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4322E0B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3CAA3B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EDF85C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3E73FC6A">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6117005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698BE2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7E46D331">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4F1DBFA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B23430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2DF69B0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6EE16C9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C3383B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3EAF56A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highlight w:val="none"/>
          <w:lang w:val="en-US" w:eastAsia="zh-CN"/>
        </w:rPr>
      </w:pPr>
      <w:r>
        <w:rPr>
          <w:rFonts w:hint="eastAsia" w:ascii="仿宋" w:hAnsi="仿宋" w:eastAsia="仿宋"/>
          <w:bCs/>
          <w:color w:val="auto"/>
          <w:sz w:val="24"/>
          <w:highlight w:val="none"/>
          <w:lang w:val="en-US" w:eastAsia="zh-CN"/>
        </w:rPr>
        <w:t>18.产品报价应包含税费、包装、库运、保险、检验、根据采购人需求提供相应数量的设备、配件、耗品等，以及按需提供驻场技术人员和提供工作人员培训、技术支持、设备保养维修及升级等所有费用。</w:t>
      </w:r>
    </w:p>
    <w:p w14:paraId="2A93E85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19.相同情况下，优先选择开放性试剂耗材。</w:t>
      </w:r>
    </w:p>
    <w:p w14:paraId="784ADD7E">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20.其他未尽事宜由绍兴大学附属医院负责解释。</w:t>
      </w:r>
    </w:p>
    <w:p w14:paraId="0CDEB5E2">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6C0490D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40"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40"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bookmarkStart w:id="18" w:name="_Toc64369811"/>
      <w:bookmarkEnd w:id="18"/>
      <w:bookmarkStart w:id="19" w:name="_Toc64369804"/>
      <w:bookmarkEnd w:id="19"/>
      <w:bookmarkStart w:id="20" w:name="_Toc64369814"/>
      <w:bookmarkEnd w:id="20"/>
      <w:bookmarkStart w:id="21" w:name="_Toc64369809"/>
      <w:bookmarkEnd w:id="21"/>
      <w:bookmarkStart w:id="22" w:name="_Toc64369812"/>
      <w:bookmarkEnd w:id="22"/>
      <w:bookmarkStart w:id="23" w:name="_Toc64369806"/>
      <w:bookmarkEnd w:id="23"/>
      <w:bookmarkStart w:id="24" w:name="_Toc64369805"/>
      <w:bookmarkEnd w:id="24"/>
      <w:bookmarkStart w:id="25" w:name="_Toc64369813"/>
      <w:bookmarkEnd w:id="25"/>
      <w:bookmarkStart w:id="26" w:name="_Toc64369807"/>
      <w:bookmarkEnd w:id="26"/>
      <w:bookmarkStart w:id="27" w:name="_Toc64369808"/>
      <w:bookmarkEnd w:id="27"/>
      <w:bookmarkStart w:id="28" w:name="_Toc64369810"/>
      <w:bookmarkEnd w:id="28"/>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4384"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4384;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5408"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5408;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0B135123">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E510589">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0B0500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0BEA81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5C279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6B5D3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2656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7DA75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8BBC11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5B6BC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DAEA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EE5AA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19622AD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FF54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97CDDA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240974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746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40FD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2D3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644596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A0F71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C40C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B15CBB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46EF70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B85CB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48F41246">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2D5A7A6E">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5E804D7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06788068">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9F8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B7F372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333B1485">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1E6858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DA4A79B">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525FBBB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29833BBA">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26FE91C1">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337A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53DDE0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6F5BC18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00A601E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787B70F1">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3E93F0D3">
            <w:pPr>
              <w:kinsoku/>
              <w:overflowPunct/>
              <w:topLinePunct w:val="0"/>
              <w:bidi w:val="0"/>
              <w:spacing w:line="288" w:lineRule="auto"/>
              <w:rPr>
                <w:rFonts w:ascii="仿宋" w:hAnsi="仿宋" w:eastAsia="仿宋" w:cs="仿宋"/>
                <w:color w:val="auto"/>
                <w:sz w:val="24"/>
                <w:szCs w:val="24"/>
              </w:rPr>
            </w:pPr>
          </w:p>
        </w:tc>
      </w:tr>
      <w:tr w14:paraId="11EF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78E7DB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4ACE7AE5">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C3F36DF">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9D6C54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1C29770E">
            <w:pPr>
              <w:kinsoku/>
              <w:overflowPunct/>
              <w:topLinePunct w:val="0"/>
              <w:bidi w:val="0"/>
              <w:spacing w:line="288" w:lineRule="auto"/>
              <w:rPr>
                <w:rFonts w:ascii="仿宋" w:hAnsi="仿宋" w:eastAsia="仿宋" w:cs="仿宋"/>
                <w:color w:val="auto"/>
                <w:sz w:val="24"/>
                <w:szCs w:val="24"/>
              </w:rPr>
            </w:pPr>
          </w:p>
        </w:tc>
      </w:tr>
      <w:tr w14:paraId="4EBA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47411C99">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0AFCC52B">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CFAC6C9">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4AB8627">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B13C1CF">
            <w:pPr>
              <w:kinsoku/>
              <w:overflowPunct/>
              <w:topLinePunct w:val="0"/>
              <w:bidi w:val="0"/>
              <w:spacing w:line="288" w:lineRule="auto"/>
              <w:rPr>
                <w:rFonts w:ascii="仿宋" w:hAnsi="仿宋" w:eastAsia="仿宋" w:cs="仿宋"/>
                <w:color w:val="auto"/>
                <w:sz w:val="24"/>
                <w:szCs w:val="24"/>
              </w:rPr>
            </w:pPr>
          </w:p>
        </w:tc>
      </w:tr>
    </w:tbl>
    <w:p w14:paraId="4FF3B4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25A60C0F">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747B58E8">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D309BF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E3E0AB2">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7BF079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B4C197C">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77818A8">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28BFCEC1">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318ED04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1267D1C9">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0C12D2E5">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6F7AD32B">
      <w:pPr>
        <w:kinsoku/>
        <w:overflowPunct/>
        <w:topLinePunct w:val="0"/>
        <w:bidi w:val="0"/>
        <w:snapToGrid w:val="0"/>
        <w:spacing w:before="50" w:after="50" w:line="288" w:lineRule="auto"/>
        <w:rPr>
          <w:rFonts w:hint="eastAsia" w:ascii="仿宋" w:hAnsi="仿宋" w:eastAsia="仿宋" w:cs="仿宋"/>
          <w:b/>
          <w:bCs/>
          <w:color w:val="auto"/>
          <w:sz w:val="30"/>
          <w:szCs w:val="30"/>
          <w:lang w:val="en-US" w:eastAsia="zh-CN"/>
        </w:rPr>
      </w:pPr>
    </w:p>
    <w:p w14:paraId="7DF32D6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ascii="仿宋" w:hAnsi="仿宋" w:eastAsia="仿宋" w:cs="仿宋"/>
          <w:b/>
          <w:bCs/>
          <w:color w:val="auto"/>
          <w:sz w:val="30"/>
          <w:szCs w:val="30"/>
          <w:lang w:val="en-US" w:eastAsia="zh-CN"/>
        </w:rPr>
        <w:t>12、技术响应表（如有）</w:t>
      </w:r>
    </w:p>
    <w:p w14:paraId="5022BEBC">
      <w:pPr>
        <w:kinsoku/>
        <w:overflowPunct/>
        <w:topLinePunct w:val="0"/>
        <w:bidi w:val="0"/>
        <w:snapToGrid w:val="0"/>
        <w:spacing w:before="50" w:after="156" w:afterLines="50" w:line="288" w:lineRule="auto"/>
        <w:ind w:firstLine="883"/>
        <w:jc w:val="center"/>
        <w:rPr>
          <w:rFonts w:hint="eastAsia" w:ascii="仿宋" w:hAnsi="仿宋" w:eastAsia="仿宋" w:cs="仿宋"/>
          <w:b/>
          <w:spacing w:val="40"/>
          <w:kern w:val="0"/>
          <w:sz w:val="36"/>
          <w:szCs w:val="36"/>
        </w:rPr>
      </w:pPr>
    </w:p>
    <w:p w14:paraId="31FEAD7D">
      <w:pPr>
        <w:kinsoku/>
        <w:overflowPunct/>
        <w:topLinePunct w:val="0"/>
        <w:bidi w:val="0"/>
        <w:snapToGrid w:val="0"/>
        <w:spacing w:before="50" w:after="156" w:afterLines="50" w:line="288" w:lineRule="auto"/>
        <w:ind w:firstLine="883"/>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7D21FF4F">
      <w:pPr>
        <w:kinsoku/>
        <w:overflowPunct/>
        <w:topLinePunct w:val="0"/>
        <w:bidi w:val="0"/>
        <w:snapToGrid w:val="0"/>
        <w:spacing w:before="50" w:after="156" w:afterLines="50" w:line="288" w:lineRule="auto"/>
        <w:ind w:firstLine="643"/>
        <w:jc w:val="center"/>
        <w:rPr>
          <w:rFonts w:ascii="仿宋" w:hAnsi="仿宋" w:eastAsia="仿宋" w:cs="仿宋"/>
          <w:b/>
          <w:sz w:val="32"/>
          <w:szCs w:val="32"/>
        </w:rPr>
      </w:pPr>
    </w:p>
    <w:p w14:paraId="3FA21BC5">
      <w:pPr>
        <w:pStyle w:val="9"/>
        <w:kinsoku/>
        <w:overflowPunct/>
        <w:topLinePunct w:val="0"/>
        <w:bidi w:val="0"/>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61CE6214">
      <w:pPr>
        <w:pStyle w:val="9"/>
        <w:kinsoku/>
        <w:overflowPunct/>
        <w:topLinePunct w:val="0"/>
        <w:bidi w:val="0"/>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54B2A011">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2319CBEF">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31B94F6D">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FC093FA">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72E06FC8">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6906B95">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2E4B716">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46AA346D">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EF060A2">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EACD9DC">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4B5D756B">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93B13F1">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7A3D7249">
            <w:pPr>
              <w:kinsoku/>
              <w:overflowPunct/>
              <w:topLinePunct w:val="0"/>
              <w:bidi w:val="0"/>
              <w:snapToGrid w:val="0"/>
              <w:spacing w:before="50" w:after="50" w:line="288" w:lineRule="auto"/>
              <w:ind w:firstLine="560"/>
              <w:rPr>
                <w:rFonts w:ascii="仿宋" w:hAnsi="仿宋" w:eastAsia="仿宋" w:cs="仿宋"/>
                <w:spacing w:val="20"/>
                <w:sz w:val="24"/>
                <w:szCs w:val="24"/>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kinsoku/>
              <w:overflowPunct/>
              <w:topLinePunct w:val="0"/>
              <w:bidi w:val="0"/>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6BBC2617">
            <w:pPr>
              <w:kinsoku/>
              <w:overflowPunct/>
              <w:topLinePunct w:val="0"/>
              <w:bidi w:val="0"/>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ACA7D09">
            <w:pPr>
              <w:kinsoku/>
              <w:overflowPunct/>
              <w:topLinePunct w:val="0"/>
              <w:bidi w:val="0"/>
              <w:snapToGrid w:val="0"/>
              <w:spacing w:before="50" w:after="50" w:line="288" w:lineRule="auto"/>
              <w:ind w:firstLine="560"/>
              <w:rPr>
                <w:rFonts w:ascii="仿宋" w:hAnsi="仿宋" w:eastAsia="仿宋" w:cs="仿宋"/>
                <w:spacing w:val="20"/>
                <w:sz w:val="24"/>
                <w:szCs w:val="24"/>
              </w:rPr>
            </w:pPr>
          </w:p>
        </w:tc>
      </w:tr>
    </w:tbl>
    <w:p w14:paraId="11C2B345">
      <w:pPr>
        <w:pStyle w:val="11"/>
        <w:kinsoku/>
        <w:overflowPunct/>
        <w:topLinePunct w:val="0"/>
        <w:bidi w:val="0"/>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1"/>
        <w:kinsoku/>
        <w:overflowPunct/>
        <w:topLinePunct w:val="0"/>
        <w:bidi w:val="0"/>
        <w:spacing w:line="288" w:lineRule="auto"/>
        <w:rPr>
          <w:rFonts w:ascii="仿宋" w:hAnsi="仿宋" w:eastAsia="仿宋" w:cs="仿宋"/>
          <w:b w:val="0"/>
          <w:bCs w:val="0"/>
          <w:spacing w:val="20"/>
          <w:kern w:val="0"/>
          <w:szCs w:val="24"/>
        </w:rPr>
      </w:pPr>
    </w:p>
    <w:p w14:paraId="57F4E451">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35F9416B">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5372216C">
      <w:pPr>
        <w:kinsoku/>
        <w:overflowPunct/>
        <w:topLinePunct w:val="0"/>
        <w:bidi w:val="0"/>
        <w:snapToGrid w:val="0"/>
        <w:spacing w:before="50" w:after="50" w:line="288" w:lineRule="auto"/>
        <w:ind w:firstLine="560"/>
        <w:rPr>
          <w:rFonts w:ascii="仿宋" w:hAnsi="仿宋" w:eastAsia="仿宋" w:cs="仿宋"/>
          <w:spacing w:val="20"/>
          <w:sz w:val="24"/>
          <w:szCs w:val="24"/>
        </w:rPr>
      </w:pPr>
    </w:p>
    <w:p w14:paraId="1C714AAF">
      <w:pPr>
        <w:kinsoku/>
        <w:overflowPunct/>
        <w:topLinePunct w:val="0"/>
        <w:bidi w:val="0"/>
        <w:snapToGrid w:val="0"/>
        <w:spacing w:before="156" w:beforeLines="50" w:line="288" w:lineRule="auto"/>
        <w:rPr>
          <w:rFonts w:ascii="仿宋" w:hAnsi="仿宋" w:eastAsia="仿宋" w:cs="仿宋"/>
          <w:sz w:val="24"/>
          <w:szCs w:val="24"/>
        </w:rPr>
      </w:pPr>
    </w:p>
    <w:p w14:paraId="7847DE70">
      <w:pPr>
        <w:kinsoku/>
        <w:overflowPunct/>
        <w:topLinePunct w:val="0"/>
        <w:bidi w:val="0"/>
        <w:snapToGrid w:val="0"/>
        <w:spacing w:before="156" w:beforeLines="50" w:line="288" w:lineRule="auto"/>
        <w:rPr>
          <w:rFonts w:ascii="仿宋" w:hAnsi="仿宋" w:eastAsia="仿宋" w:cs="仿宋"/>
          <w:sz w:val="24"/>
          <w:szCs w:val="24"/>
        </w:rPr>
      </w:pPr>
    </w:p>
    <w:p w14:paraId="1C42DFCE">
      <w:pPr>
        <w:kinsoku/>
        <w:overflowPunct/>
        <w:topLinePunct w:val="0"/>
        <w:bidi w:val="0"/>
        <w:snapToGrid w:val="0"/>
        <w:spacing w:before="156" w:beforeLines="50" w:line="288" w:lineRule="auto"/>
        <w:rPr>
          <w:rFonts w:ascii="仿宋" w:hAnsi="仿宋" w:eastAsia="仿宋" w:cs="仿宋"/>
          <w:sz w:val="24"/>
          <w:szCs w:val="24"/>
        </w:rPr>
      </w:pPr>
    </w:p>
    <w:p w14:paraId="12DADA68">
      <w:pPr>
        <w:kinsoku/>
        <w:overflowPunct/>
        <w:topLinePunct w:val="0"/>
        <w:bidi w:val="0"/>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4EB4615A">
      <w:pPr>
        <w:kinsoku/>
        <w:overflowPunct/>
        <w:topLinePunct w:val="0"/>
        <w:bidi w:val="0"/>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13A4C214">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1E755CFA">
      <w:pPr>
        <w:kinsoku/>
        <w:overflowPunct/>
        <w:topLinePunct w:val="0"/>
        <w:bidi w:val="0"/>
        <w:snapToGrid w:val="0"/>
        <w:spacing w:before="50" w:after="50" w:line="288" w:lineRule="auto"/>
        <w:ind w:firstLine="482"/>
        <w:jc w:val="left"/>
        <w:rPr>
          <w:rFonts w:ascii="仿宋" w:hAnsi="仿宋" w:eastAsia="仿宋" w:cs="仿宋"/>
          <w:b/>
          <w:bCs/>
          <w:sz w:val="24"/>
          <w:szCs w:val="24"/>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16、</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7" w:type="default"/>
          <w:pgSz w:w="11907" w:h="16840"/>
          <w:pgMar w:top="1247" w:right="1361" w:bottom="1134" w:left="1361" w:header="765" w:footer="82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8" w:type="default"/>
          <w:pgSz w:w="16840" w:h="11907" w:orient="landscape"/>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9" w:type="default"/>
      <w:pgSz w:w="11907" w:h="16840"/>
      <w:pgMar w:top="1361" w:right="1361" w:bottom="1361" w:left="1361" w:header="765" w:footer="82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9DDE8">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458DE">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C458DE">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28B5">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42B3E">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C42B3E">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DE09C5F">
                    <w:pPr>
                      <w:pStyle w:val="19"/>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绍兴大学附属医院2026年第一次诊断试剂采购项目（三次）</w:t>
    </w:r>
    <w:r>
      <w:rPr>
        <w:rFonts w:hint="eastAsia"/>
      </w:rPr>
      <w:t>（</w:t>
    </w:r>
    <w:r>
      <w:rPr>
        <w:rFonts w:hint="eastAsia"/>
        <w:lang w:eastAsia="zh-CN"/>
      </w:rPr>
      <w:t>YH2026-04023-2</w:t>
    </w:r>
    <w:r>
      <w:rPr>
        <w:rFonts w:hint="eastAsia"/>
        <w:lang w:val="en-US"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C342">
    <w:pPr>
      <w:pStyle w:val="20"/>
      <w:jc w:val="left"/>
      <w:rPr>
        <w:rFonts w:hint="eastAsia"/>
        <w:lang w:eastAsia="zh-CN"/>
      </w:rPr>
    </w:pPr>
    <w:r>
      <w:rPr>
        <w:rFonts w:hint="eastAsia"/>
        <w:lang w:eastAsia="zh-CN"/>
      </w:rPr>
      <w:t>绍兴大学附属医院2026年第一次诊断试剂采购项目（三次）</w:t>
    </w:r>
    <w:r>
      <w:rPr>
        <w:rFonts w:hint="eastAsia"/>
      </w:rPr>
      <w:t>（</w:t>
    </w:r>
    <w:r>
      <w:rPr>
        <w:rFonts w:hint="eastAsia"/>
        <w:lang w:eastAsia="zh-CN"/>
      </w:rPr>
      <w:t>YH2026-04023-2</w:t>
    </w:r>
    <w:r>
      <w:rPr>
        <w:rFonts w:hint="eastAsia"/>
        <w:lang w:val="en-US" w:eastAsia="zh-CN"/>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3D8E">
    <w:pPr>
      <w:pStyle w:val="20"/>
      <w:jc w:val="left"/>
    </w:pPr>
    <w:r>
      <w:rPr>
        <w:rFonts w:hint="eastAsia"/>
        <w:lang w:eastAsia="zh-CN"/>
      </w:rPr>
      <w:t>绍兴大学附属医院2026年第一次诊断试剂采购项目（三次）</w:t>
    </w:r>
    <w:r>
      <w:rPr>
        <w:rFonts w:hint="eastAsia"/>
      </w:rPr>
      <w:t>（</w:t>
    </w:r>
    <w:r>
      <w:rPr>
        <w:rFonts w:hint="eastAsia"/>
        <w:lang w:eastAsia="zh-CN"/>
      </w:rPr>
      <w:t>YH2026-04023-2</w:t>
    </w:r>
    <w:r>
      <w:rPr>
        <w:rFonts w:hint="eastAsia"/>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BDF5878"/>
    <w:rsid w:val="0BE8147C"/>
    <w:rsid w:val="0C174A27"/>
    <w:rsid w:val="0C5D60B6"/>
    <w:rsid w:val="0CED2080"/>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FA3557"/>
    <w:rsid w:val="27483DC1"/>
    <w:rsid w:val="28415C57"/>
    <w:rsid w:val="28CF0993"/>
    <w:rsid w:val="28E4179C"/>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1078C9"/>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7502B1"/>
    <w:rsid w:val="3A8C7023"/>
    <w:rsid w:val="3AA374A5"/>
    <w:rsid w:val="3AB60176"/>
    <w:rsid w:val="3ABB5337"/>
    <w:rsid w:val="3B0D2A35"/>
    <w:rsid w:val="3B62605C"/>
    <w:rsid w:val="3C30773C"/>
    <w:rsid w:val="3C9B5361"/>
    <w:rsid w:val="3D2A2A57"/>
    <w:rsid w:val="3D364D7F"/>
    <w:rsid w:val="3DB0260F"/>
    <w:rsid w:val="3DBC6E21"/>
    <w:rsid w:val="3E5F71BC"/>
    <w:rsid w:val="3E6B371F"/>
    <w:rsid w:val="3F09317F"/>
    <w:rsid w:val="3F2B6A59"/>
    <w:rsid w:val="3F805734"/>
    <w:rsid w:val="3FBA5C2B"/>
    <w:rsid w:val="40076C9A"/>
    <w:rsid w:val="40827FB2"/>
    <w:rsid w:val="409749EB"/>
    <w:rsid w:val="40F92C38"/>
    <w:rsid w:val="41410DFB"/>
    <w:rsid w:val="41A44324"/>
    <w:rsid w:val="41DC2D21"/>
    <w:rsid w:val="41E37861"/>
    <w:rsid w:val="420057D5"/>
    <w:rsid w:val="42030830"/>
    <w:rsid w:val="4258325B"/>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8F44DC"/>
    <w:rsid w:val="4AC6616E"/>
    <w:rsid w:val="4B432979"/>
    <w:rsid w:val="4BD216F6"/>
    <w:rsid w:val="4CEF795D"/>
    <w:rsid w:val="4D213554"/>
    <w:rsid w:val="4D394357"/>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C713AA"/>
    <w:rsid w:val="5C4B0CDE"/>
    <w:rsid w:val="5C715C09"/>
    <w:rsid w:val="5C7335C4"/>
    <w:rsid w:val="5C982996"/>
    <w:rsid w:val="5CB00EB7"/>
    <w:rsid w:val="5D081B2B"/>
    <w:rsid w:val="5F5038BD"/>
    <w:rsid w:val="5F7268F8"/>
    <w:rsid w:val="5F7D0B46"/>
    <w:rsid w:val="602D27C4"/>
    <w:rsid w:val="60883B6A"/>
    <w:rsid w:val="60DB671F"/>
    <w:rsid w:val="60F635C7"/>
    <w:rsid w:val="61566C51"/>
    <w:rsid w:val="61DF02F6"/>
    <w:rsid w:val="63C3055D"/>
    <w:rsid w:val="63E322D9"/>
    <w:rsid w:val="63FB4E0D"/>
    <w:rsid w:val="64665646"/>
    <w:rsid w:val="656637F5"/>
    <w:rsid w:val="65C60088"/>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39702E"/>
    <w:rsid w:val="718916D4"/>
    <w:rsid w:val="71C4414C"/>
    <w:rsid w:val="723E5536"/>
    <w:rsid w:val="7257514C"/>
    <w:rsid w:val="72D354B6"/>
    <w:rsid w:val="743F7BCA"/>
    <w:rsid w:val="744852A3"/>
    <w:rsid w:val="747F58E7"/>
    <w:rsid w:val="74C17D21"/>
    <w:rsid w:val="74E5529D"/>
    <w:rsid w:val="75815F07"/>
    <w:rsid w:val="75A97807"/>
    <w:rsid w:val="75FC5978"/>
    <w:rsid w:val="76835092"/>
    <w:rsid w:val="76A01B45"/>
    <w:rsid w:val="77651D23"/>
    <w:rsid w:val="77935928"/>
    <w:rsid w:val="78933E70"/>
    <w:rsid w:val="78EB6D4A"/>
    <w:rsid w:val="79647116"/>
    <w:rsid w:val="796F2F17"/>
    <w:rsid w:val="798470F6"/>
    <w:rsid w:val="7A4D5B16"/>
    <w:rsid w:val="7A631723"/>
    <w:rsid w:val="7A8227E7"/>
    <w:rsid w:val="7BFC43B0"/>
    <w:rsid w:val="7CFD1A9F"/>
    <w:rsid w:val="7DD5231C"/>
    <w:rsid w:val="7E1D2B1E"/>
    <w:rsid w:val="7E7C73E8"/>
    <w:rsid w:val="7FB43B2F"/>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68</Pages>
  <Words>13029</Words>
  <Characters>14413</Characters>
  <Lines>392</Lines>
  <Paragraphs>110</Paragraphs>
  <TotalTime>5</TotalTime>
  <ScaleCrop>false</ScaleCrop>
  <LinksUpToDate>false</LinksUpToDate>
  <CharactersWithSpaces>14516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2026-07-08T07:32:00Z</cp:lastPrinted>
  <dcterms:modified xsi:type="dcterms:W3CDTF">2026-07-21T00:44:05Z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