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8640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0"/>
        <w:gridCol w:w="5940"/>
        <w:gridCol w:w="9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180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评分内容</w:t>
            </w:r>
          </w:p>
        </w:tc>
        <w:tc>
          <w:tcPr>
            <w:tcW w:w="5940" w:type="dxa"/>
            <w:noWrap w:val="0"/>
            <w:vAlign w:val="top"/>
          </w:tcPr>
          <w:p>
            <w:pPr>
              <w:spacing w:line="360" w:lineRule="auto"/>
              <w:ind w:left="-115" w:leftChars="-55" w:right="-115" w:rightChars="-55"/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评 分 说 明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spacing w:line="360" w:lineRule="auto"/>
              <w:ind w:left="-115" w:leftChars="-55" w:right="-115" w:rightChars="-55"/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分值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80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供应商资质</w:t>
            </w:r>
          </w:p>
        </w:tc>
        <w:tc>
          <w:tcPr>
            <w:tcW w:w="5940" w:type="dxa"/>
            <w:noWrap w:val="0"/>
            <w:vAlign w:val="center"/>
          </w:tcPr>
          <w:p>
            <w:pPr>
              <w:spacing w:line="360" w:lineRule="auto"/>
              <w:rPr>
                <w:rFonts w:hint="default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1、</w:t>
            </w: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供应商具有省安防资质（或智能化）一级得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10分，二级得7分，三级得4分。资质证书需提供复印件并加盖公章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spacing w:line="360" w:lineRule="auto"/>
              <w:ind w:left="-115" w:leftChars="-55" w:right="-115" w:rightChars="-55"/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80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供应商</w:t>
            </w:r>
            <w:r>
              <w:rPr>
                <w:rFonts w:hint="eastAsia" w:ascii="宋体" w:hAnsi="宋体" w:cs="宋体"/>
                <w:sz w:val="24"/>
              </w:rPr>
              <w:t>业绩</w:t>
            </w:r>
          </w:p>
        </w:tc>
        <w:tc>
          <w:tcPr>
            <w:tcW w:w="5940" w:type="dxa"/>
            <w:noWrap w:val="0"/>
            <w:vAlign w:val="center"/>
          </w:tcPr>
          <w:p>
            <w:pPr>
              <w:spacing w:line="360" w:lineRule="auto"/>
              <w:ind w:right="71" w:rightChars="34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2021年7月1日至今</w:t>
            </w:r>
            <w:r>
              <w:rPr>
                <w:rFonts w:hint="eastAsia" w:ascii="宋体" w:hAnsi="宋体" w:cs="宋体"/>
                <w:sz w:val="24"/>
              </w:rPr>
              <w:t>同等规模以上监控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、门禁</w:t>
            </w:r>
            <w:r>
              <w:rPr>
                <w:rFonts w:hint="eastAsia" w:ascii="宋体" w:hAnsi="宋体" w:cs="宋体"/>
                <w:sz w:val="24"/>
              </w:rPr>
              <w:t>相关案例合同，根据投标人所提供的同类产品案例合同，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3家得10</w:t>
            </w:r>
            <w:r>
              <w:rPr>
                <w:rFonts w:hint="eastAsia" w:ascii="宋体" w:hAnsi="宋体" w:cs="宋体"/>
                <w:sz w:val="24"/>
              </w:rPr>
              <w:t>分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，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2家得7分，1家得4分</w:t>
            </w:r>
            <w:r>
              <w:rPr>
                <w:rFonts w:hint="eastAsia" w:ascii="宋体" w:hAnsi="宋体" w:cs="宋体"/>
                <w:sz w:val="24"/>
              </w:rPr>
              <w:t>。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spacing w:line="360" w:lineRule="auto"/>
              <w:ind w:left="-115" w:leftChars="-55" w:right="-115" w:rightChars="-55"/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180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售后维保方案</w:t>
            </w:r>
          </w:p>
        </w:tc>
        <w:tc>
          <w:tcPr>
            <w:tcW w:w="5940" w:type="dxa"/>
            <w:noWrap w:val="0"/>
            <w:vAlign w:val="center"/>
          </w:tcPr>
          <w:p>
            <w:pPr>
              <w:pStyle w:val="6"/>
              <w:ind w:firstLine="0" w:firstLineChars="0"/>
              <w:rPr>
                <w:rFonts w:hint="eastAsia"/>
                <w:szCs w:val="24"/>
                <w:lang w:val="en-US"/>
              </w:rPr>
            </w:pPr>
            <w:r>
              <w:rPr>
                <w:rFonts w:hint="eastAsia"/>
                <w:color w:val="000000"/>
                <w:szCs w:val="24"/>
              </w:rPr>
              <w:t>维保期内的公司技术支持和维</w:t>
            </w:r>
            <w:bookmarkStart w:id="0" w:name="_GoBack"/>
            <w:bookmarkEnd w:id="0"/>
            <w:r>
              <w:rPr>
                <w:rFonts w:hint="eastAsia"/>
                <w:color w:val="000000"/>
                <w:szCs w:val="24"/>
              </w:rPr>
              <w:t>护能力情况，即对服务承诺落实的保障措施，提供技术团队上门维护、升级服务，对故障的响应时间，到现场时间，按规定时间内解决问题所采取的措施。</w:t>
            </w:r>
            <w:r>
              <w:rPr>
                <w:rFonts w:hint="eastAsia" w:ascii="宋体" w:hAnsi="宋体" w:cs="宋体"/>
                <w:szCs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szCs w:val="24"/>
                <w:lang w:val="en-US" w:eastAsia="zh-CN"/>
              </w:rPr>
              <w:t>0-10分</w:t>
            </w:r>
            <w:r>
              <w:rPr>
                <w:rFonts w:hint="eastAsia" w:ascii="宋体" w:hAnsi="宋体" w:cs="宋体"/>
                <w:szCs w:val="24"/>
                <w:lang w:eastAsia="zh-CN"/>
              </w:rPr>
              <w:t>）</w:t>
            </w:r>
            <w:r>
              <w:rPr>
                <w:rFonts w:hint="eastAsia" w:ascii="宋体" w:hAnsi="宋体" w:cs="宋体"/>
                <w:szCs w:val="24"/>
              </w:rPr>
              <w:t>。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spacing w:line="360" w:lineRule="auto"/>
              <w:ind w:left="-115" w:leftChars="-55" w:right="-115" w:rightChars="-55"/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atLeast"/>
        </w:trPr>
        <w:tc>
          <w:tcPr>
            <w:tcW w:w="1800" w:type="dxa"/>
            <w:noWrap w:val="0"/>
            <w:vAlign w:val="center"/>
          </w:tcPr>
          <w:p>
            <w:pPr>
              <w:spacing w:line="360" w:lineRule="auto"/>
              <w:ind w:firstLine="240" w:firstLineChars="100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售后服务</w:t>
            </w:r>
          </w:p>
        </w:tc>
        <w:tc>
          <w:tcPr>
            <w:tcW w:w="5940" w:type="dxa"/>
            <w:noWrap w:val="0"/>
            <w:vAlign w:val="center"/>
          </w:tcPr>
          <w:p>
            <w:pPr>
              <w:numPr>
                <w:ilvl w:val="0"/>
                <w:numId w:val="1"/>
              </w:numPr>
              <w:spacing w:line="360" w:lineRule="auto"/>
              <w:rPr>
                <w:rFonts w:hint="eastAsia"/>
                <w:color w:val="00000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售后服务期限原则为1年，延长1个月得2分，延长2个月得4分，延长3个月得8分。</w:t>
            </w:r>
          </w:p>
          <w:p>
            <w:pPr>
              <w:numPr>
                <w:ilvl w:val="0"/>
                <w:numId w:val="1"/>
              </w:numPr>
              <w:spacing w:line="360" w:lineRule="auto"/>
              <w:rPr>
                <w:rFonts w:hint="default"/>
                <w:color w:val="000000"/>
                <w:sz w:val="24"/>
                <w:lang w:val="en-US" w:eastAsia="zh-CN"/>
              </w:rPr>
            </w:pPr>
            <w:r>
              <w:rPr>
                <w:sz w:val="24"/>
              </w:rPr>
              <w:t>在</w:t>
            </w:r>
            <w:r>
              <w:rPr>
                <w:rFonts w:hint="eastAsia"/>
                <w:sz w:val="24"/>
                <w:lang w:eastAsia="zh-CN"/>
              </w:rPr>
              <w:t>符合医院</w:t>
            </w:r>
            <w:r>
              <w:rPr>
                <w:sz w:val="24"/>
              </w:rPr>
              <w:t>要求的基础上</w:t>
            </w:r>
            <w:r>
              <w:rPr>
                <w:rFonts w:hint="eastAsia"/>
                <w:sz w:val="24"/>
                <w:lang w:eastAsia="zh-CN"/>
              </w:rPr>
              <w:t>，根据医院项目特点要求，提供个性化服务等进行综合比较，（</w:t>
            </w:r>
            <w:r>
              <w:rPr>
                <w:rFonts w:hint="eastAsia"/>
                <w:sz w:val="24"/>
                <w:lang w:val="en-US" w:eastAsia="zh-CN"/>
              </w:rPr>
              <w:t>0-12分</w:t>
            </w:r>
            <w:r>
              <w:rPr>
                <w:rFonts w:hint="eastAsia"/>
                <w:sz w:val="24"/>
                <w:lang w:eastAsia="zh-CN"/>
              </w:rPr>
              <w:t>）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spacing w:line="360" w:lineRule="auto"/>
              <w:ind w:left="-115" w:leftChars="-55" w:right="-115" w:rightChars="-55"/>
              <w:jc w:val="center"/>
              <w:rPr>
                <w:rFonts w:hint="default" w:ascii="宋体" w:hAnsi="宋体" w:cs="宋体"/>
                <w:sz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0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相应零配件更换及维修价的下浮率</w:t>
            </w:r>
          </w:p>
        </w:tc>
        <w:tc>
          <w:tcPr>
            <w:tcW w:w="5940" w:type="dxa"/>
            <w:noWrap w:val="0"/>
            <w:vAlign w:val="center"/>
          </w:tcPr>
          <w:p>
            <w:pPr>
              <w:spacing w:line="360" w:lineRule="auto"/>
              <w:ind w:left="71" w:leftChars="34" w:right="71" w:rightChars="34" w:firstLine="1"/>
              <w:rPr>
                <w:rFonts w:hint="eastAsia" w:ascii="宋体" w:hAnsi="宋体" w:cs="宋体"/>
                <w:sz w:val="24"/>
              </w:rPr>
            </w:pPr>
            <w:r>
              <w:rPr>
                <w:sz w:val="24"/>
              </w:rPr>
              <w:t>在满足</w:t>
            </w:r>
            <w:r>
              <w:rPr>
                <w:rFonts w:hint="eastAsia"/>
                <w:sz w:val="24"/>
                <w:lang w:eastAsia="zh-CN"/>
              </w:rPr>
              <w:t>医院</w:t>
            </w:r>
            <w:r>
              <w:rPr>
                <w:sz w:val="24"/>
              </w:rPr>
              <w:t>要求的基础上，各供应商所供配件在最高限价基础上的统一下浮率，下浮率最高得1</w:t>
            </w:r>
            <w:r>
              <w:rPr>
                <w:rFonts w:hint="eastAsia"/>
                <w:sz w:val="24"/>
                <w:lang w:val="en-US" w:eastAsia="zh-CN"/>
              </w:rPr>
              <w:t>5</w:t>
            </w:r>
            <w:r>
              <w:rPr>
                <w:sz w:val="24"/>
              </w:rPr>
              <w:t>分，下浮率第二名得</w:t>
            </w:r>
            <w:r>
              <w:rPr>
                <w:rFonts w:hint="eastAsia"/>
                <w:sz w:val="24"/>
                <w:lang w:val="en-US" w:eastAsia="zh-CN"/>
              </w:rPr>
              <w:t>10</w:t>
            </w:r>
            <w:r>
              <w:rPr>
                <w:sz w:val="24"/>
              </w:rPr>
              <w:t>分，下浮率第三名得</w:t>
            </w:r>
            <w:r>
              <w:rPr>
                <w:rFonts w:hint="eastAsia"/>
                <w:sz w:val="24"/>
                <w:lang w:val="en-US" w:eastAsia="zh-CN"/>
              </w:rPr>
              <w:t>5</w:t>
            </w:r>
            <w:r>
              <w:rPr>
                <w:sz w:val="24"/>
              </w:rPr>
              <w:t>分，第四名及第四名以后不得分。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spacing w:line="360" w:lineRule="auto"/>
              <w:ind w:left="-115" w:leftChars="-55" w:right="-115" w:rightChars="-55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ascii="宋体" w:hAnsi="宋体" w:cs="宋体"/>
                <w:sz w:val="24"/>
              </w:rPr>
              <w:t>1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0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总报价</w:t>
            </w:r>
          </w:p>
        </w:tc>
        <w:tc>
          <w:tcPr>
            <w:tcW w:w="5940" w:type="dxa"/>
            <w:noWrap w:val="0"/>
            <w:vAlign w:val="center"/>
          </w:tcPr>
          <w:p>
            <w:pPr>
              <w:spacing w:line="360" w:lineRule="auto"/>
              <w:ind w:left="71" w:leftChars="34" w:right="71" w:rightChars="34" w:firstLine="1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各供应商总报价最低者得满分（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35分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）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，其他从低到高依次</w:t>
            </w:r>
            <w:r>
              <w:rPr>
                <w:rFonts w:hint="eastAsia"/>
                <w:sz w:val="24"/>
                <w:lang w:val="en-US" w:eastAsia="zh-CN"/>
              </w:rPr>
              <w:t>减5分。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spacing w:line="360" w:lineRule="auto"/>
              <w:ind w:left="-115" w:leftChars="-55" w:right="-115" w:rightChars="-55"/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35</w:t>
            </w:r>
          </w:p>
        </w:tc>
      </w:tr>
    </w:tbl>
    <w:p>
      <w:pPr>
        <w:pStyle w:val="2"/>
        <w:spacing w:line="800" w:lineRule="atLeast"/>
        <w:ind w:left="0" w:leftChars="0"/>
        <w:jc w:val="center"/>
        <w:rPr>
          <w:rFonts w:hint="eastAsia" w:ascii="宋体" w:hAnsi="宋体" w:cs="宋体"/>
          <w:b/>
          <w:bCs/>
        </w:rPr>
      </w:pPr>
    </w:p>
    <w:p>
      <w:pPr>
        <w:pStyle w:val="2"/>
        <w:spacing w:line="800" w:lineRule="atLeast"/>
        <w:ind w:left="0" w:leftChars="0"/>
        <w:jc w:val="center"/>
        <w:rPr>
          <w:rFonts w:hint="eastAsia" w:ascii="宋体" w:hAnsi="宋体"/>
          <w:b/>
          <w:sz w:val="36"/>
          <w:szCs w:val="36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2ACA413"/>
    <w:multiLevelType w:val="singleLevel"/>
    <w:tmpl w:val="12ACA413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Q0ZWI5ZmY0MjU3YWRiMmI2NWU4MGY2NWQ2MmQwNTEifQ=="/>
  </w:docVars>
  <w:rsids>
    <w:rsidRoot w:val="62E50FF6"/>
    <w:rsid w:val="0E7313C4"/>
    <w:rsid w:val="0F987405"/>
    <w:rsid w:val="1BAF1D5E"/>
    <w:rsid w:val="2346640A"/>
    <w:rsid w:val="2AB92E84"/>
    <w:rsid w:val="31E959C4"/>
    <w:rsid w:val="36FC6364"/>
    <w:rsid w:val="42E83803"/>
    <w:rsid w:val="44D53725"/>
    <w:rsid w:val="470E0923"/>
    <w:rsid w:val="4BBF0888"/>
    <w:rsid w:val="62E50FF6"/>
    <w:rsid w:val="694B3A8D"/>
    <w:rsid w:val="767B3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420" w:leftChars="200"/>
    </w:pPr>
  </w:style>
  <w:style w:type="paragraph" w:styleId="3">
    <w:name w:val="Plain Text"/>
    <w:basedOn w:val="1"/>
    <w:qFormat/>
    <w:uiPriority w:val="0"/>
    <w:pPr>
      <w:spacing w:after="156" w:afterLines="50"/>
    </w:pPr>
    <w:rPr>
      <w:rFonts w:ascii="宋体" w:hAnsi="Courier New"/>
      <w:sz w:val="24"/>
      <w:szCs w:val="20"/>
    </w:rPr>
  </w:style>
  <w:style w:type="paragraph" w:customStyle="1" w:styleId="6">
    <w:name w:val="首行缩进"/>
    <w:basedOn w:val="1"/>
    <w:qFormat/>
    <w:uiPriority w:val="99"/>
    <w:pPr>
      <w:spacing w:line="360" w:lineRule="auto"/>
      <w:ind w:firstLine="480" w:firstLineChars="200"/>
    </w:pPr>
    <w:rPr>
      <w:sz w:val="24"/>
      <w:szCs w:val="22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441</Words>
  <Characters>459</Characters>
  <Lines>0</Lines>
  <Paragraphs>0</Paragraphs>
  <TotalTime>7</TotalTime>
  <ScaleCrop>false</ScaleCrop>
  <LinksUpToDate>false</LinksUpToDate>
  <CharactersWithSpaces>469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2024-07-11T06:43:00Z</dcterms:created>
  <dc:creator>Administrator</dc:creator>
  <cp:lastModifiedBy>龚溢君</cp:lastModifiedBy>
  <dcterms:modified xsi:type="dcterms:W3CDTF">2024-07-24T08:35:48Z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  <property fmtid="{D5CDD505-2E9C-101B-9397-08002B2CF9AE}" pid="3" name="ICV">
    <vt:lpwstr>862AFD2B2B82404F935FB318473BCE23_11</vt:lpwstr>
  </property>
</Properties>
</file>